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8E" w:rsidRPr="00294D7D" w:rsidRDefault="00FD4DEA" w:rsidP="00FD4DEA">
      <w:pPr>
        <w:kinsoku w:val="0"/>
        <w:overflowPunct w:val="0"/>
        <w:autoSpaceDE w:val="0"/>
        <w:autoSpaceDN w:val="0"/>
        <w:jc w:val="center"/>
        <w:rPr>
          <w:sz w:val="22"/>
        </w:rPr>
      </w:pPr>
      <w:bookmarkStart w:id="0" w:name="_GoBack"/>
      <w:bookmarkEnd w:id="0"/>
      <w:r w:rsidRPr="00294D7D">
        <w:rPr>
          <w:rFonts w:hint="eastAsia"/>
          <w:sz w:val="22"/>
        </w:rPr>
        <w:t>アイヌ施策推進地域計画　中間目標評価報告書</w:t>
      </w:r>
    </w:p>
    <w:p w:rsidR="00FD4DEA" w:rsidRPr="00294D7D" w:rsidRDefault="00FD4DEA" w:rsidP="00FD4DEA">
      <w:pPr>
        <w:kinsoku w:val="0"/>
        <w:overflowPunct w:val="0"/>
        <w:autoSpaceDE w:val="0"/>
        <w:autoSpaceDN w:val="0"/>
        <w:rPr>
          <w:sz w:val="22"/>
        </w:rPr>
      </w:pPr>
    </w:p>
    <w:tbl>
      <w:tblPr>
        <w:tblStyle w:val="a3"/>
        <w:tblW w:w="0" w:type="auto"/>
        <w:tblLook w:val="04A0" w:firstRow="1" w:lastRow="0" w:firstColumn="1" w:lastColumn="0" w:noHBand="0" w:noVBand="1"/>
      </w:tblPr>
      <w:tblGrid>
        <w:gridCol w:w="2263"/>
        <w:gridCol w:w="4536"/>
        <w:gridCol w:w="2261"/>
      </w:tblGrid>
      <w:tr w:rsidR="00FD4DEA" w:rsidRPr="00294D7D" w:rsidTr="007C3B99">
        <w:tc>
          <w:tcPr>
            <w:tcW w:w="2263" w:type="dxa"/>
          </w:tcPr>
          <w:p w:rsidR="00FD4DEA" w:rsidRPr="00294D7D" w:rsidRDefault="00FD4DEA" w:rsidP="00FD4DEA">
            <w:pPr>
              <w:kinsoku w:val="0"/>
              <w:overflowPunct w:val="0"/>
              <w:autoSpaceDE w:val="0"/>
              <w:autoSpaceDN w:val="0"/>
              <w:jc w:val="center"/>
              <w:rPr>
                <w:sz w:val="22"/>
              </w:rPr>
            </w:pPr>
            <w:r w:rsidRPr="00294D7D">
              <w:rPr>
                <w:rFonts w:hint="eastAsia"/>
                <w:sz w:val="22"/>
              </w:rPr>
              <w:t>実施主体名</w:t>
            </w:r>
          </w:p>
        </w:tc>
        <w:tc>
          <w:tcPr>
            <w:tcW w:w="4536" w:type="dxa"/>
          </w:tcPr>
          <w:p w:rsidR="00FD4DEA" w:rsidRPr="00294D7D" w:rsidRDefault="00FD4DEA" w:rsidP="00FD4DEA">
            <w:pPr>
              <w:kinsoku w:val="0"/>
              <w:overflowPunct w:val="0"/>
              <w:autoSpaceDE w:val="0"/>
              <w:autoSpaceDN w:val="0"/>
              <w:jc w:val="center"/>
              <w:rPr>
                <w:sz w:val="22"/>
              </w:rPr>
            </w:pPr>
            <w:r w:rsidRPr="00294D7D">
              <w:rPr>
                <w:rFonts w:hint="eastAsia"/>
                <w:sz w:val="22"/>
              </w:rPr>
              <w:t>計画の名称</w:t>
            </w:r>
          </w:p>
        </w:tc>
        <w:tc>
          <w:tcPr>
            <w:tcW w:w="2261" w:type="dxa"/>
          </w:tcPr>
          <w:p w:rsidR="00FD4DEA" w:rsidRPr="00294D7D" w:rsidRDefault="00A353D3" w:rsidP="007A6E6D">
            <w:pPr>
              <w:kinsoku w:val="0"/>
              <w:overflowPunct w:val="0"/>
              <w:autoSpaceDE w:val="0"/>
              <w:autoSpaceDN w:val="0"/>
              <w:jc w:val="center"/>
              <w:rPr>
                <w:sz w:val="22"/>
              </w:rPr>
            </w:pPr>
            <w:r>
              <w:rPr>
                <w:rFonts w:hint="eastAsia"/>
                <w:sz w:val="22"/>
              </w:rPr>
              <w:t>（</w:t>
            </w:r>
            <w:r w:rsidR="00FD4DEA" w:rsidRPr="00294D7D">
              <w:rPr>
                <w:rFonts w:hint="eastAsia"/>
                <w:sz w:val="22"/>
              </w:rPr>
              <w:t>中間</w:t>
            </w:r>
            <w:r>
              <w:rPr>
                <w:rFonts w:hint="eastAsia"/>
                <w:sz w:val="22"/>
              </w:rPr>
              <w:t>）</w:t>
            </w:r>
            <w:r w:rsidR="00FD4DEA" w:rsidRPr="00294D7D">
              <w:rPr>
                <w:rFonts w:hint="eastAsia"/>
                <w:sz w:val="22"/>
              </w:rPr>
              <w:t>目標年度</w:t>
            </w:r>
          </w:p>
        </w:tc>
      </w:tr>
      <w:tr w:rsidR="00FD4DEA" w:rsidRPr="00294D7D" w:rsidTr="007C3B99">
        <w:tc>
          <w:tcPr>
            <w:tcW w:w="2263" w:type="dxa"/>
            <w:vAlign w:val="center"/>
          </w:tcPr>
          <w:p w:rsidR="00FD4DEA" w:rsidRPr="00294D7D" w:rsidRDefault="00FD4DEA" w:rsidP="006E5C46">
            <w:pPr>
              <w:kinsoku w:val="0"/>
              <w:overflowPunct w:val="0"/>
              <w:autoSpaceDE w:val="0"/>
              <w:autoSpaceDN w:val="0"/>
              <w:jc w:val="center"/>
              <w:rPr>
                <w:sz w:val="22"/>
              </w:rPr>
            </w:pPr>
            <w:r w:rsidRPr="00294D7D">
              <w:rPr>
                <w:rFonts w:hint="eastAsia"/>
                <w:sz w:val="22"/>
              </w:rPr>
              <w:t>白糠町</w:t>
            </w:r>
          </w:p>
        </w:tc>
        <w:tc>
          <w:tcPr>
            <w:tcW w:w="4536" w:type="dxa"/>
          </w:tcPr>
          <w:p w:rsidR="00FD4DEA" w:rsidRPr="00294D7D" w:rsidRDefault="00FD4DEA" w:rsidP="00FD4DEA">
            <w:pPr>
              <w:kinsoku w:val="0"/>
              <w:overflowPunct w:val="0"/>
              <w:autoSpaceDE w:val="0"/>
              <w:autoSpaceDN w:val="0"/>
              <w:rPr>
                <w:sz w:val="22"/>
              </w:rPr>
            </w:pPr>
            <w:r w:rsidRPr="00294D7D">
              <w:rPr>
                <w:rFonts w:hint="eastAsia"/>
                <w:sz w:val="22"/>
              </w:rPr>
              <w:t>白糠町アイヌ文化の保存・伝承・活用推進計画　～ウレシパ・プラン～</w:t>
            </w:r>
          </w:p>
        </w:tc>
        <w:tc>
          <w:tcPr>
            <w:tcW w:w="2261" w:type="dxa"/>
            <w:vAlign w:val="center"/>
          </w:tcPr>
          <w:p w:rsidR="00FD4DEA" w:rsidRPr="00294D7D" w:rsidRDefault="00A353D3" w:rsidP="00D2613D">
            <w:pPr>
              <w:kinsoku w:val="0"/>
              <w:overflowPunct w:val="0"/>
              <w:autoSpaceDE w:val="0"/>
              <w:autoSpaceDN w:val="0"/>
              <w:jc w:val="center"/>
              <w:rPr>
                <w:sz w:val="22"/>
              </w:rPr>
            </w:pPr>
            <w:r>
              <w:rPr>
                <w:rFonts w:hint="eastAsia"/>
                <w:sz w:val="22"/>
              </w:rPr>
              <w:t>（</w:t>
            </w:r>
            <w:r w:rsidR="00FD4DEA" w:rsidRPr="00294D7D">
              <w:rPr>
                <w:rFonts w:hint="eastAsia"/>
                <w:sz w:val="22"/>
              </w:rPr>
              <w:t>令和</w:t>
            </w:r>
            <w:r w:rsidR="00D2613D">
              <w:rPr>
                <w:rFonts w:hint="eastAsia"/>
                <w:sz w:val="22"/>
              </w:rPr>
              <w:t>３</w:t>
            </w:r>
            <w:r w:rsidR="00FD4DEA" w:rsidRPr="00294D7D">
              <w:rPr>
                <w:rFonts w:hint="eastAsia"/>
                <w:sz w:val="22"/>
              </w:rPr>
              <w:t>年度</w:t>
            </w:r>
            <w:r>
              <w:rPr>
                <w:rFonts w:hint="eastAsia"/>
                <w:sz w:val="22"/>
              </w:rPr>
              <w:t>）</w:t>
            </w:r>
          </w:p>
        </w:tc>
      </w:tr>
    </w:tbl>
    <w:p w:rsidR="00FD4DEA" w:rsidRPr="00294D7D" w:rsidRDefault="00FD4DEA" w:rsidP="00FD4DEA">
      <w:pPr>
        <w:kinsoku w:val="0"/>
        <w:overflowPunct w:val="0"/>
        <w:autoSpaceDE w:val="0"/>
        <w:autoSpaceDN w:val="0"/>
        <w:rPr>
          <w:sz w:val="22"/>
        </w:rPr>
      </w:pPr>
    </w:p>
    <w:p w:rsidR="00FD4DEA" w:rsidRPr="00294D7D" w:rsidRDefault="00FD4DEA" w:rsidP="00FD4DEA">
      <w:pPr>
        <w:pStyle w:val="a4"/>
        <w:numPr>
          <w:ilvl w:val="0"/>
          <w:numId w:val="1"/>
        </w:numPr>
        <w:kinsoku w:val="0"/>
        <w:overflowPunct w:val="0"/>
        <w:autoSpaceDE w:val="0"/>
        <w:autoSpaceDN w:val="0"/>
        <w:ind w:leftChars="0"/>
        <w:rPr>
          <w:sz w:val="22"/>
        </w:rPr>
      </w:pPr>
      <w:r w:rsidRPr="00294D7D">
        <w:rPr>
          <w:rFonts w:hint="eastAsia"/>
          <w:sz w:val="22"/>
        </w:rPr>
        <w:t>目標の達成状況</w:t>
      </w:r>
    </w:p>
    <w:tbl>
      <w:tblPr>
        <w:tblStyle w:val="a3"/>
        <w:tblW w:w="0" w:type="auto"/>
        <w:tblLook w:val="04A0" w:firstRow="1" w:lastRow="0" w:firstColumn="1" w:lastColumn="0" w:noHBand="0" w:noVBand="1"/>
      </w:tblPr>
      <w:tblGrid>
        <w:gridCol w:w="3681"/>
        <w:gridCol w:w="1344"/>
        <w:gridCol w:w="1345"/>
        <w:gridCol w:w="1345"/>
        <w:gridCol w:w="1345"/>
      </w:tblGrid>
      <w:tr w:rsidR="00FD4DEA" w:rsidRPr="00294D7D" w:rsidTr="006E5C46">
        <w:tc>
          <w:tcPr>
            <w:tcW w:w="3681" w:type="dxa"/>
          </w:tcPr>
          <w:p w:rsidR="00FD4DEA" w:rsidRPr="00294D7D" w:rsidRDefault="007A6E6D" w:rsidP="007A6E6D">
            <w:pPr>
              <w:kinsoku w:val="0"/>
              <w:overflowPunct w:val="0"/>
              <w:autoSpaceDE w:val="0"/>
              <w:autoSpaceDN w:val="0"/>
              <w:rPr>
                <w:sz w:val="22"/>
              </w:rPr>
            </w:pPr>
            <w:r>
              <w:rPr>
                <w:rFonts w:hint="eastAsia"/>
                <w:sz w:val="22"/>
              </w:rPr>
              <w:t>アイヌ施策推進地域計画における</w:t>
            </w:r>
            <w:r w:rsidR="00A353D3">
              <w:rPr>
                <w:rFonts w:hint="eastAsia"/>
                <w:sz w:val="22"/>
              </w:rPr>
              <w:t>（</w:t>
            </w:r>
            <w:r w:rsidR="00AC415C" w:rsidRPr="00294D7D">
              <w:rPr>
                <w:rFonts w:hint="eastAsia"/>
                <w:sz w:val="22"/>
              </w:rPr>
              <w:t>中間</w:t>
            </w:r>
            <w:r w:rsidR="00A353D3">
              <w:rPr>
                <w:rFonts w:hint="eastAsia"/>
                <w:sz w:val="22"/>
              </w:rPr>
              <w:t>）</w:t>
            </w:r>
            <w:r w:rsidR="00AC415C" w:rsidRPr="00294D7D">
              <w:rPr>
                <w:rFonts w:hint="eastAsia"/>
                <w:sz w:val="22"/>
              </w:rPr>
              <w:t>目標</w:t>
            </w:r>
          </w:p>
        </w:tc>
        <w:tc>
          <w:tcPr>
            <w:tcW w:w="1344" w:type="dxa"/>
          </w:tcPr>
          <w:p w:rsidR="006E5C46" w:rsidRDefault="00AC415C" w:rsidP="00AC415C">
            <w:pPr>
              <w:kinsoku w:val="0"/>
              <w:overflowPunct w:val="0"/>
              <w:autoSpaceDE w:val="0"/>
              <w:autoSpaceDN w:val="0"/>
              <w:jc w:val="center"/>
              <w:rPr>
                <w:sz w:val="22"/>
              </w:rPr>
            </w:pPr>
            <w:r w:rsidRPr="00294D7D">
              <w:rPr>
                <w:rFonts w:hint="eastAsia"/>
                <w:sz w:val="22"/>
              </w:rPr>
              <w:t>目標値</w:t>
            </w:r>
          </w:p>
          <w:p w:rsidR="00FD4DEA" w:rsidRPr="00294D7D" w:rsidRDefault="00AC415C" w:rsidP="00AC415C">
            <w:pPr>
              <w:kinsoku w:val="0"/>
              <w:overflowPunct w:val="0"/>
              <w:autoSpaceDE w:val="0"/>
              <w:autoSpaceDN w:val="0"/>
              <w:jc w:val="center"/>
              <w:rPr>
                <w:sz w:val="22"/>
              </w:rPr>
            </w:pPr>
            <w:r w:rsidRPr="00294D7D">
              <w:rPr>
                <w:rFonts w:hint="eastAsia"/>
                <w:sz w:val="22"/>
              </w:rPr>
              <w:t>A</w:t>
            </w:r>
          </w:p>
        </w:tc>
        <w:tc>
          <w:tcPr>
            <w:tcW w:w="1345" w:type="dxa"/>
          </w:tcPr>
          <w:p w:rsidR="006E5C46" w:rsidRDefault="00AC415C" w:rsidP="00AC415C">
            <w:pPr>
              <w:kinsoku w:val="0"/>
              <w:overflowPunct w:val="0"/>
              <w:autoSpaceDE w:val="0"/>
              <w:autoSpaceDN w:val="0"/>
              <w:jc w:val="center"/>
              <w:rPr>
                <w:sz w:val="22"/>
              </w:rPr>
            </w:pPr>
            <w:r w:rsidRPr="00294D7D">
              <w:rPr>
                <w:rFonts w:hint="eastAsia"/>
                <w:sz w:val="22"/>
              </w:rPr>
              <w:t>実績値</w:t>
            </w:r>
          </w:p>
          <w:p w:rsidR="00FD4DEA" w:rsidRPr="00294D7D" w:rsidRDefault="00AC415C" w:rsidP="00AC415C">
            <w:pPr>
              <w:kinsoku w:val="0"/>
              <w:overflowPunct w:val="0"/>
              <w:autoSpaceDE w:val="0"/>
              <w:autoSpaceDN w:val="0"/>
              <w:jc w:val="center"/>
              <w:rPr>
                <w:sz w:val="22"/>
              </w:rPr>
            </w:pPr>
            <w:r w:rsidRPr="00294D7D">
              <w:rPr>
                <w:rFonts w:hint="eastAsia"/>
                <w:sz w:val="22"/>
              </w:rPr>
              <w:t>B</w:t>
            </w:r>
          </w:p>
        </w:tc>
        <w:tc>
          <w:tcPr>
            <w:tcW w:w="1345" w:type="dxa"/>
          </w:tcPr>
          <w:p w:rsidR="00FD4DEA" w:rsidRPr="00294D7D" w:rsidRDefault="00AC415C" w:rsidP="00AC415C">
            <w:pPr>
              <w:kinsoku w:val="0"/>
              <w:overflowPunct w:val="0"/>
              <w:autoSpaceDE w:val="0"/>
              <w:autoSpaceDN w:val="0"/>
              <w:jc w:val="center"/>
              <w:rPr>
                <w:sz w:val="22"/>
              </w:rPr>
            </w:pPr>
            <w:r w:rsidRPr="00294D7D">
              <w:rPr>
                <w:rFonts w:hint="eastAsia"/>
                <w:sz w:val="22"/>
              </w:rPr>
              <w:t>達成率(%)</w:t>
            </w:r>
          </w:p>
          <w:p w:rsidR="00AC415C" w:rsidRPr="00294D7D" w:rsidRDefault="00AC415C" w:rsidP="00AC415C">
            <w:pPr>
              <w:kinsoku w:val="0"/>
              <w:overflowPunct w:val="0"/>
              <w:autoSpaceDE w:val="0"/>
              <w:autoSpaceDN w:val="0"/>
              <w:jc w:val="center"/>
              <w:rPr>
                <w:sz w:val="22"/>
              </w:rPr>
            </w:pPr>
            <w:r w:rsidRPr="00294D7D">
              <w:rPr>
                <w:sz w:val="22"/>
              </w:rPr>
              <w:t>B/A</w:t>
            </w:r>
          </w:p>
        </w:tc>
        <w:tc>
          <w:tcPr>
            <w:tcW w:w="1345" w:type="dxa"/>
            <w:vAlign w:val="center"/>
          </w:tcPr>
          <w:p w:rsidR="00FD4DEA" w:rsidRPr="00294D7D" w:rsidRDefault="00AC415C" w:rsidP="006E5C46">
            <w:pPr>
              <w:kinsoku w:val="0"/>
              <w:overflowPunct w:val="0"/>
              <w:autoSpaceDE w:val="0"/>
              <w:autoSpaceDN w:val="0"/>
              <w:jc w:val="center"/>
              <w:rPr>
                <w:sz w:val="22"/>
              </w:rPr>
            </w:pPr>
            <w:r w:rsidRPr="00294D7D">
              <w:rPr>
                <w:rFonts w:hint="eastAsia"/>
                <w:sz w:val="22"/>
              </w:rPr>
              <w:t>備考</w:t>
            </w:r>
          </w:p>
        </w:tc>
      </w:tr>
      <w:tr w:rsidR="00FD4DEA" w:rsidRPr="00294D7D" w:rsidTr="00AC415C">
        <w:tc>
          <w:tcPr>
            <w:tcW w:w="3681" w:type="dxa"/>
          </w:tcPr>
          <w:p w:rsidR="00FD4DEA" w:rsidRPr="00294D7D" w:rsidRDefault="0003469D" w:rsidP="00FD4DEA">
            <w:pPr>
              <w:kinsoku w:val="0"/>
              <w:overflowPunct w:val="0"/>
              <w:autoSpaceDE w:val="0"/>
              <w:autoSpaceDN w:val="0"/>
              <w:rPr>
                <w:sz w:val="22"/>
              </w:rPr>
            </w:pPr>
            <w:r w:rsidRPr="00294D7D">
              <w:rPr>
                <w:rFonts w:hint="eastAsia"/>
                <w:sz w:val="22"/>
              </w:rPr>
              <w:t>アイヌ伝統文化空間来訪者数</w:t>
            </w:r>
          </w:p>
        </w:tc>
        <w:tc>
          <w:tcPr>
            <w:tcW w:w="1344" w:type="dxa"/>
          </w:tcPr>
          <w:p w:rsidR="00FD4DEA" w:rsidRPr="00294D7D" w:rsidRDefault="00D2613D" w:rsidP="00294D7D">
            <w:pPr>
              <w:kinsoku w:val="0"/>
              <w:overflowPunct w:val="0"/>
              <w:autoSpaceDE w:val="0"/>
              <w:autoSpaceDN w:val="0"/>
              <w:jc w:val="right"/>
              <w:rPr>
                <w:sz w:val="22"/>
              </w:rPr>
            </w:pPr>
            <w:r>
              <w:rPr>
                <w:rFonts w:hint="eastAsia"/>
                <w:sz w:val="22"/>
              </w:rPr>
              <w:t>4,750</w:t>
            </w:r>
            <w:r w:rsidR="005816A3" w:rsidRPr="00294D7D">
              <w:rPr>
                <w:rFonts w:hint="eastAsia"/>
                <w:sz w:val="22"/>
              </w:rPr>
              <w:t>人</w:t>
            </w:r>
            <w:r w:rsidR="00294D7D" w:rsidRPr="00294D7D">
              <w:rPr>
                <w:rFonts w:hint="eastAsia"/>
                <w:sz w:val="22"/>
              </w:rPr>
              <w:t>/年</w:t>
            </w:r>
          </w:p>
        </w:tc>
        <w:tc>
          <w:tcPr>
            <w:tcW w:w="1345" w:type="dxa"/>
          </w:tcPr>
          <w:p w:rsidR="00FD4DEA" w:rsidRPr="00294D7D" w:rsidRDefault="00255AEC" w:rsidP="00294D7D">
            <w:pPr>
              <w:kinsoku w:val="0"/>
              <w:overflowPunct w:val="0"/>
              <w:autoSpaceDE w:val="0"/>
              <w:autoSpaceDN w:val="0"/>
              <w:jc w:val="right"/>
              <w:rPr>
                <w:sz w:val="22"/>
              </w:rPr>
            </w:pPr>
            <w:r>
              <w:rPr>
                <w:rFonts w:hint="eastAsia"/>
                <w:sz w:val="22"/>
              </w:rPr>
              <w:t>5,251</w:t>
            </w:r>
            <w:r w:rsidR="00504C93" w:rsidRPr="00294D7D">
              <w:rPr>
                <w:rFonts w:hint="eastAsia"/>
                <w:sz w:val="22"/>
              </w:rPr>
              <w:t>人/年</w:t>
            </w:r>
          </w:p>
        </w:tc>
        <w:tc>
          <w:tcPr>
            <w:tcW w:w="1345" w:type="dxa"/>
          </w:tcPr>
          <w:p w:rsidR="00FD4DEA" w:rsidRPr="00294D7D" w:rsidRDefault="00D2613D" w:rsidP="00294D7D">
            <w:pPr>
              <w:kinsoku w:val="0"/>
              <w:overflowPunct w:val="0"/>
              <w:autoSpaceDE w:val="0"/>
              <w:autoSpaceDN w:val="0"/>
              <w:jc w:val="right"/>
              <w:rPr>
                <w:sz w:val="22"/>
              </w:rPr>
            </w:pPr>
            <w:r>
              <w:rPr>
                <w:rFonts w:hint="eastAsia"/>
                <w:sz w:val="22"/>
              </w:rPr>
              <w:t>110.5</w:t>
            </w:r>
            <w:r w:rsidR="00255AEC">
              <w:rPr>
                <w:rFonts w:hint="eastAsia"/>
                <w:sz w:val="22"/>
              </w:rPr>
              <w:t>％</w:t>
            </w:r>
          </w:p>
        </w:tc>
        <w:tc>
          <w:tcPr>
            <w:tcW w:w="1345" w:type="dxa"/>
          </w:tcPr>
          <w:p w:rsidR="00FD4DEA" w:rsidRPr="00294D7D" w:rsidRDefault="00FD4DEA" w:rsidP="00FD4DEA">
            <w:pPr>
              <w:kinsoku w:val="0"/>
              <w:overflowPunct w:val="0"/>
              <w:autoSpaceDE w:val="0"/>
              <w:autoSpaceDN w:val="0"/>
              <w:rPr>
                <w:sz w:val="22"/>
              </w:rPr>
            </w:pPr>
          </w:p>
        </w:tc>
      </w:tr>
      <w:tr w:rsidR="00FD4DEA" w:rsidRPr="00294D7D" w:rsidTr="00AC415C">
        <w:tc>
          <w:tcPr>
            <w:tcW w:w="3681" w:type="dxa"/>
          </w:tcPr>
          <w:p w:rsidR="00FD4DEA" w:rsidRPr="00294D7D" w:rsidRDefault="0003469D" w:rsidP="00FD4DEA">
            <w:pPr>
              <w:kinsoku w:val="0"/>
              <w:overflowPunct w:val="0"/>
              <w:autoSpaceDE w:val="0"/>
              <w:autoSpaceDN w:val="0"/>
              <w:rPr>
                <w:sz w:val="22"/>
              </w:rPr>
            </w:pPr>
            <w:r w:rsidRPr="00294D7D">
              <w:rPr>
                <w:rFonts w:hint="eastAsia"/>
                <w:sz w:val="22"/>
              </w:rPr>
              <w:t>ウレシパチセ入館者数</w:t>
            </w:r>
          </w:p>
        </w:tc>
        <w:tc>
          <w:tcPr>
            <w:tcW w:w="1344" w:type="dxa"/>
          </w:tcPr>
          <w:p w:rsidR="00FD4DEA" w:rsidRPr="00294D7D" w:rsidRDefault="00D2613D" w:rsidP="00294D7D">
            <w:pPr>
              <w:kinsoku w:val="0"/>
              <w:overflowPunct w:val="0"/>
              <w:autoSpaceDE w:val="0"/>
              <w:autoSpaceDN w:val="0"/>
              <w:jc w:val="right"/>
              <w:rPr>
                <w:sz w:val="22"/>
              </w:rPr>
            </w:pPr>
            <w:r>
              <w:rPr>
                <w:rFonts w:hint="eastAsia"/>
                <w:sz w:val="22"/>
              </w:rPr>
              <w:t>4,750</w:t>
            </w:r>
            <w:r w:rsidR="00294D7D">
              <w:rPr>
                <w:rFonts w:hint="eastAsia"/>
                <w:sz w:val="22"/>
              </w:rPr>
              <w:t>人/年</w:t>
            </w:r>
          </w:p>
        </w:tc>
        <w:tc>
          <w:tcPr>
            <w:tcW w:w="1345" w:type="dxa"/>
          </w:tcPr>
          <w:p w:rsidR="00FD4DEA" w:rsidRPr="00294D7D" w:rsidRDefault="00255AEC" w:rsidP="00294D7D">
            <w:pPr>
              <w:kinsoku w:val="0"/>
              <w:overflowPunct w:val="0"/>
              <w:autoSpaceDE w:val="0"/>
              <w:autoSpaceDN w:val="0"/>
              <w:jc w:val="right"/>
              <w:rPr>
                <w:sz w:val="22"/>
              </w:rPr>
            </w:pPr>
            <w:r>
              <w:rPr>
                <w:rFonts w:hint="eastAsia"/>
                <w:sz w:val="22"/>
              </w:rPr>
              <w:t>1,811</w:t>
            </w:r>
            <w:r w:rsidR="00504C93" w:rsidRPr="00294D7D">
              <w:rPr>
                <w:rFonts w:hint="eastAsia"/>
                <w:sz w:val="22"/>
              </w:rPr>
              <w:t>人/年</w:t>
            </w:r>
          </w:p>
        </w:tc>
        <w:tc>
          <w:tcPr>
            <w:tcW w:w="1345" w:type="dxa"/>
          </w:tcPr>
          <w:p w:rsidR="00FD4DEA" w:rsidRPr="00294D7D" w:rsidRDefault="00D2613D" w:rsidP="00294D7D">
            <w:pPr>
              <w:kinsoku w:val="0"/>
              <w:overflowPunct w:val="0"/>
              <w:autoSpaceDE w:val="0"/>
              <w:autoSpaceDN w:val="0"/>
              <w:jc w:val="right"/>
              <w:rPr>
                <w:sz w:val="22"/>
              </w:rPr>
            </w:pPr>
            <w:r>
              <w:rPr>
                <w:rFonts w:hint="eastAsia"/>
                <w:sz w:val="22"/>
              </w:rPr>
              <w:t>38.1</w:t>
            </w:r>
            <w:r w:rsidR="00255AEC">
              <w:rPr>
                <w:rFonts w:hint="eastAsia"/>
                <w:sz w:val="22"/>
              </w:rPr>
              <w:t>％</w:t>
            </w:r>
          </w:p>
        </w:tc>
        <w:tc>
          <w:tcPr>
            <w:tcW w:w="1345" w:type="dxa"/>
          </w:tcPr>
          <w:p w:rsidR="00FD4DEA" w:rsidRPr="00294D7D" w:rsidRDefault="00FD4DEA" w:rsidP="00FD4DEA">
            <w:pPr>
              <w:kinsoku w:val="0"/>
              <w:overflowPunct w:val="0"/>
              <w:autoSpaceDE w:val="0"/>
              <w:autoSpaceDN w:val="0"/>
              <w:rPr>
                <w:sz w:val="22"/>
              </w:rPr>
            </w:pPr>
          </w:p>
        </w:tc>
      </w:tr>
      <w:tr w:rsidR="0003469D" w:rsidRPr="00294D7D" w:rsidTr="00AC415C">
        <w:tc>
          <w:tcPr>
            <w:tcW w:w="3681" w:type="dxa"/>
          </w:tcPr>
          <w:p w:rsidR="0003469D" w:rsidRPr="00294D7D" w:rsidRDefault="0003469D" w:rsidP="00FD4DEA">
            <w:pPr>
              <w:kinsoku w:val="0"/>
              <w:overflowPunct w:val="0"/>
              <w:autoSpaceDE w:val="0"/>
              <w:autoSpaceDN w:val="0"/>
              <w:rPr>
                <w:sz w:val="22"/>
              </w:rPr>
            </w:pPr>
            <w:r w:rsidRPr="00294D7D">
              <w:rPr>
                <w:rFonts w:hint="eastAsia"/>
                <w:sz w:val="22"/>
              </w:rPr>
              <w:t>保護者満足度</w:t>
            </w:r>
          </w:p>
        </w:tc>
        <w:tc>
          <w:tcPr>
            <w:tcW w:w="1344" w:type="dxa"/>
          </w:tcPr>
          <w:p w:rsidR="0003469D" w:rsidRPr="00294D7D" w:rsidRDefault="00D2613D" w:rsidP="00294D7D">
            <w:pPr>
              <w:kinsoku w:val="0"/>
              <w:overflowPunct w:val="0"/>
              <w:autoSpaceDE w:val="0"/>
              <w:autoSpaceDN w:val="0"/>
              <w:jc w:val="right"/>
              <w:rPr>
                <w:sz w:val="22"/>
              </w:rPr>
            </w:pPr>
            <w:r>
              <w:rPr>
                <w:rFonts w:hint="eastAsia"/>
                <w:sz w:val="22"/>
              </w:rPr>
              <w:t>60</w:t>
            </w:r>
            <w:r w:rsidR="00294D7D">
              <w:rPr>
                <w:rFonts w:hint="eastAsia"/>
                <w:sz w:val="22"/>
              </w:rPr>
              <w:t>％</w:t>
            </w:r>
            <w:r w:rsidR="002D4A44">
              <w:rPr>
                <w:rFonts w:hint="eastAsia"/>
                <w:sz w:val="22"/>
              </w:rPr>
              <w:t>/年</w:t>
            </w:r>
          </w:p>
        </w:tc>
        <w:tc>
          <w:tcPr>
            <w:tcW w:w="1345" w:type="dxa"/>
          </w:tcPr>
          <w:p w:rsidR="0003469D" w:rsidRPr="00294D7D" w:rsidRDefault="00255AEC" w:rsidP="00294D7D">
            <w:pPr>
              <w:kinsoku w:val="0"/>
              <w:overflowPunct w:val="0"/>
              <w:autoSpaceDE w:val="0"/>
              <w:autoSpaceDN w:val="0"/>
              <w:jc w:val="right"/>
              <w:rPr>
                <w:sz w:val="22"/>
              </w:rPr>
            </w:pPr>
            <w:r>
              <w:rPr>
                <w:rFonts w:hint="eastAsia"/>
                <w:sz w:val="22"/>
              </w:rPr>
              <w:t>84</w:t>
            </w:r>
            <w:r w:rsidR="00504C93">
              <w:rPr>
                <w:rFonts w:hint="eastAsia"/>
                <w:sz w:val="22"/>
              </w:rPr>
              <w:t>％/年</w:t>
            </w:r>
          </w:p>
        </w:tc>
        <w:tc>
          <w:tcPr>
            <w:tcW w:w="1345" w:type="dxa"/>
          </w:tcPr>
          <w:p w:rsidR="0003469D" w:rsidRPr="00294D7D" w:rsidRDefault="00D2613D" w:rsidP="00294D7D">
            <w:pPr>
              <w:kinsoku w:val="0"/>
              <w:overflowPunct w:val="0"/>
              <w:autoSpaceDE w:val="0"/>
              <w:autoSpaceDN w:val="0"/>
              <w:jc w:val="right"/>
              <w:rPr>
                <w:sz w:val="22"/>
              </w:rPr>
            </w:pPr>
            <w:r>
              <w:rPr>
                <w:rFonts w:hint="eastAsia"/>
                <w:sz w:val="22"/>
              </w:rPr>
              <w:t>140</w:t>
            </w:r>
            <w:r w:rsidR="00255AEC">
              <w:rPr>
                <w:rFonts w:hint="eastAsia"/>
                <w:sz w:val="22"/>
              </w:rPr>
              <w:t>.0％</w:t>
            </w:r>
          </w:p>
        </w:tc>
        <w:tc>
          <w:tcPr>
            <w:tcW w:w="1345" w:type="dxa"/>
          </w:tcPr>
          <w:p w:rsidR="0003469D" w:rsidRPr="00294D7D" w:rsidRDefault="0003469D" w:rsidP="00FD4DEA">
            <w:pPr>
              <w:kinsoku w:val="0"/>
              <w:overflowPunct w:val="0"/>
              <w:autoSpaceDE w:val="0"/>
              <w:autoSpaceDN w:val="0"/>
              <w:rPr>
                <w:sz w:val="22"/>
              </w:rPr>
            </w:pPr>
          </w:p>
        </w:tc>
      </w:tr>
      <w:tr w:rsidR="0003469D" w:rsidRPr="00294D7D" w:rsidTr="00AC415C">
        <w:tc>
          <w:tcPr>
            <w:tcW w:w="3681" w:type="dxa"/>
          </w:tcPr>
          <w:p w:rsidR="0003469D" w:rsidRPr="00294D7D" w:rsidRDefault="0003469D" w:rsidP="00FD4DEA">
            <w:pPr>
              <w:kinsoku w:val="0"/>
              <w:overflowPunct w:val="0"/>
              <w:autoSpaceDE w:val="0"/>
              <w:autoSpaceDN w:val="0"/>
              <w:rPr>
                <w:sz w:val="22"/>
              </w:rPr>
            </w:pPr>
            <w:r w:rsidRPr="00294D7D">
              <w:rPr>
                <w:rFonts w:hint="eastAsia"/>
                <w:sz w:val="22"/>
              </w:rPr>
              <w:t>学習支援利用率</w:t>
            </w:r>
          </w:p>
        </w:tc>
        <w:tc>
          <w:tcPr>
            <w:tcW w:w="1344" w:type="dxa"/>
          </w:tcPr>
          <w:p w:rsidR="0003469D" w:rsidRPr="00294D7D" w:rsidRDefault="00D2613D" w:rsidP="00294D7D">
            <w:pPr>
              <w:kinsoku w:val="0"/>
              <w:overflowPunct w:val="0"/>
              <w:autoSpaceDE w:val="0"/>
              <w:autoSpaceDN w:val="0"/>
              <w:jc w:val="right"/>
              <w:rPr>
                <w:sz w:val="22"/>
              </w:rPr>
            </w:pPr>
            <w:r>
              <w:rPr>
                <w:rFonts w:hint="eastAsia"/>
                <w:sz w:val="22"/>
              </w:rPr>
              <w:t>52</w:t>
            </w:r>
            <w:r w:rsidR="00294D7D">
              <w:rPr>
                <w:rFonts w:hint="eastAsia"/>
                <w:sz w:val="22"/>
              </w:rPr>
              <w:t>％</w:t>
            </w:r>
            <w:r w:rsidR="002D4A44">
              <w:rPr>
                <w:rFonts w:hint="eastAsia"/>
                <w:sz w:val="22"/>
              </w:rPr>
              <w:t>/年</w:t>
            </w:r>
          </w:p>
        </w:tc>
        <w:tc>
          <w:tcPr>
            <w:tcW w:w="1345" w:type="dxa"/>
          </w:tcPr>
          <w:p w:rsidR="0003469D" w:rsidRPr="00294D7D" w:rsidRDefault="00255AEC" w:rsidP="00294D7D">
            <w:pPr>
              <w:kinsoku w:val="0"/>
              <w:overflowPunct w:val="0"/>
              <w:autoSpaceDE w:val="0"/>
              <w:autoSpaceDN w:val="0"/>
              <w:jc w:val="right"/>
              <w:rPr>
                <w:sz w:val="22"/>
              </w:rPr>
            </w:pPr>
            <w:r>
              <w:rPr>
                <w:rFonts w:hint="eastAsia"/>
                <w:sz w:val="22"/>
              </w:rPr>
              <w:t>80</w:t>
            </w:r>
            <w:r w:rsidR="00504C93">
              <w:rPr>
                <w:rFonts w:hint="eastAsia"/>
                <w:sz w:val="22"/>
              </w:rPr>
              <w:t>％/年</w:t>
            </w:r>
          </w:p>
        </w:tc>
        <w:tc>
          <w:tcPr>
            <w:tcW w:w="1345" w:type="dxa"/>
          </w:tcPr>
          <w:p w:rsidR="0003469D" w:rsidRPr="00294D7D" w:rsidRDefault="00D2613D" w:rsidP="00294D7D">
            <w:pPr>
              <w:kinsoku w:val="0"/>
              <w:overflowPunct w:val="0"/>
              <w:autoSpaceDE w:val="0"/>
              <w:autoSpaceDN w:val="0"/>
              <w:jc w:val="right"/>
              <w:rPr>
                <w:sz w:val="22"/>
              </w:rPr>
            </w:pPr>
            <w:r>
              <w:rPr>
                <w:rFonts w:hint="eastAsia"/>
                <w:sz w:val="22"/>
              </w:rPr>
              <w:t>153.8</w:t>
            </w:r>
            <w:r w:rsidR="00255AEC">
              <w:rPr>
                <w:rFonts w:hint="eastAsia"/>
                <w:sz w:val="22"/>
              </w:rPr>
              <w:t>％</w:t>
            </w:r>
          </w:p>
        </w:tc>
        <w:tc>
          <w:tcPr>
            <w:tcW w:w="1345" w:type="dxa"/>
          </w:tcPr>
          <w:p w:rsidR="0003469D" w:rsidRPr="00294D7D" w:rsidRDefault="0003469D" w:rsidP="00FD4DEA">
            <w:pPr>
              <w:kinsoku w:val="0"/>
              <w:overflowPunct w:val="0"/>
              <w:autoSpaceDE w:val="0"/>
              <w:autoSpaceDN w:val="0"/>
              <w:rPr>
                <w:sz w:val="22"/>
              </w:rPr>
            </w:pPr>
          </w:p>
        </w:tc>
      </w:tr>
      <w:tr w:rsidR="00FD4DEA" w:rsidRPr="00294D7D" w:rsidTr="00AC415C">
        <w:tc>
          <w:tcPr>
            <w:tcW w:w="3681" w:type="dxa"/>
          </w:tcPr>
          <w:p w:rsidR="00FD4DEA" w:rsidRPr="00294D7D" w:rsidRDefault="005816A3" w:rsidP="00FD4DEA">
            <w:pPr>
              <w:kinsoku w:val="0"/>
              <w:overflowPunct w:val="0"/>
              <w:autoSpaceDE w:val="0"/>
              <w:autoSpaceDN w:val="0"/>
              <w:rPr>
                <w:sz w:val="22"/>
              </w:rPr>
            </w:pPr>
            <w:r w:rsidRPr="00294D7D">
              <w:rPr>
                <w:rFonts w:hint="eastAsia"/>
                <w:sz w:val="22"/>
              </w:rPr>
              <w:t>学習支援利用者数</w:t>
            </w:r>
          </w:p>
        </w:tc>
        <w:tc>
          <w:tcPr>
            <w:tcW w:w="1344" w:type="dxa"/>
          </w:tcPr>
          <w:p w:rsidR="00FD4DEA" w:rsidRPr="00294D7D" w:rsidRDefault="00D2613D" w:rsidP="002D4A44">
            <w:pPr>
              <w:kinsoku w:val="0"/>
              <w:overflowPunct w:val="0"/>
              <w:autoSpaceDE w:val="0"/>
              <w:autoSpaceDN w:val="0"/>
              <w:jc w:val="right"/>
              <w:rPr>
                <w:sz w:val="22"/>
              </w:rPr>
            </w:pPr>
            <w:r>
              <w:rPr>
                <w:rFonts w:hint="eastAsia"/>
                <w:sz w:val="22"/>
              </w:rPr>
              <w:t>27</w:t>
            </w:r>
            <w:r w:rsidR="002D4A44">
              <w:rPr>
                <w:rFonts w:hint="eastAsia"/>
                <w:sz w:val="22"/>
              </w:rPr>
              <w:t>人/年</w:t>
            </w:r>
          </w:p>
        </w:tc>
        <w:tc>
          <w:tcPr>
            <w:tcW w:w="1345" w:type="dxa"/>
          </w:tcPr>
          <w:p w:rsidR="00FD4DEA" w:rsidRPr="00294D7D" w:rsidRDefault="00255AEC" w:rsidP="00294D7D">
            <w:pPr>
              <w:kinsoku w:val="0"/>
              <w:overflowPunct w:val="0"/>
              <w:autoSpaceDE w:val="0"/>
              <w:autoSpaceDN w:val="0"/>
              <w:jc w:val="right"/>
              <w:rPr>
                <w:sz w:val="22"/>
              </w:rPr>
            </w:pPr>
            <w:r>
              <w:rPr>
                <w:rFonts w:hint="eastAsia"/>
                <w:sz w:val="22"/>
              </w:rPr>
              <w:t>59</w:t>
            </w:r>
            <w:r w:rsidR="00504C93" w:rsidRPr="00294D7D">
              <w:rPr>
                <w:rFonts w:hint="eastAsia"/>
                <w:sz w:val="22"/>
              </w:rPr>
              <w:t>人/年</w:t>
            </w:r>
          </w:p>
        </w:tc>
        <w:tc>
          <w:tcPr>
            <w:tcW w:w="1345" w:type="dxa"/>
          </w:tcPr>
          <w:p w:rsidR="00FD4DEA" w:rsidRPr="00294D7D" w:rsidRDefault="00D2613D" w:rsidP="00294D7D">
            <w:pPr>
              <w:kinsoku w:val="0"/>
              <w:overflowPunct w:val="0"/>
              <w:autoSpaceDE w:val="0"/>
              <w:autoSpaceDN w:val="0"/>
              <w:jc w:val="right"/>
              <w:rPr>
                <w:sz w:val="22"/>
              </w:rPr>
            </w:pPr>
            <w:r>
              <w:rPr>
                <w:rFonts w:hint="eastAsia"/>
                <w:sz w:val="22"/>
              </w:rPr>
              <w:t>218.5</w:t>
            </w:r>
            <w:r w:rsidR="00255AEC">
              <w:rPr>
                <w:rFonts w:hint="eastAsia"/>
                <w:sz w:val="22"/>
              </w:rPr>
              <w:t>％</w:t>
            </w:r>
          </w:p>
        </w:tc>
        <w:tc>
          <w:tcPr>
            <w:tcW w:w="1345" w:type="dxa"/>
          </w:tcPr>
          <w:p w:rsidR="00FD4DEA" w:rsidRPr="00294D7D" w:rsidRDefault="00FD4DEA" w:rsidP="00FD4DEA">
            <w:pPr>
              <w:kinsoku w:val="0"/>
              <w:overflowPunct w:val="0"/>
              <w:autoSpaceDE w:val="0"/>
              <w:autoSpaceDN w:val="0"/>
              <w:rPr>
                <w:sz w:val="22"/>
              </w:rPr>
            </w:pPr>
          </w:p>
        </w:tc>
      </w:tr>
      <w:tr w:rsidR="00FD4DEA" w:rsidRPr="00294D7D" w:rsidTr="00AC415C">
        <w:tc>
          <w:tcPr>
            <w:tcW w:w="3681" w:type="dxa"/>
          </w:tcPr>
          <w:p w:rsidR="00FD4DEA" w:rsidRPr="00294D7D" w:rsidRDefault="005816A3" w:rsidP="00FD4DEA">
            <w:pPr>
              <w:kinsoku w:val="0"/>
              <w:overflowPunct w:val="0"/>
              <w:autoSpaceDE w:val="0"/>
              <w:autoSpaceDN w:val="0"/>
              <w:rPr>
                <w:sz w:val="22"/>
              </w:rPr>
            </w:pPr>
            <w:r w:rsidRPr="00294D7D">
              <w:rPr>
                <w:rFonts w:hint="eastAsia"/>
                <w:sz w:val="22"/>
              </w:rPr>
              <w:t>海外研修等事業参加生徒数</w:t>
            </w:r>
          </w:p>
        </w:tc>
        <w:tc>
          <w:tcPr>
            <w:tcW w:w="1344" w:type="dxa"/>
          </w:tcPr>
          <w:p w:rsidR="00FD4DEA" w:rsidRPr="00294D7D" w:rsidRDefault="002D4A44" w:rsidP="00D2613D">
            <w:pPr>
              <w:kinsoku w:val="0"/>
              <w:overflowPunct w:val="0"/>
              <w:autoSpaceDE w:val="0"/>
              <w:autoSpaceDN w:val="0"/>
              <w:jc w:val="right"/>
              <w:rPr>
                <w:sz w:val="22"/>
              </w:rPr>
            </w:pPr>
            <w:r>
              <w:rPr>
                <w:rFonts w:hint="eastAsia"/>
                <w:sz w:val="22"/>
              </w:rPr>
              <w:t>延べ</w:t>
            </w:r>
            <w:r w:rsidR="00D2613D">
              <w:rPr>
                <w:rFonts w:hint="eastAsia"/>
                <w:sz w:val="22"/>
              </w:rPr>
              <w:t>7</w:t>
            </w:r>
            <w:r w:rsidR="00294D7D">
              <w:rPr>
                <w:rFonts w:hint="eastAsia"/>
                <w:sz w:val="22"/>
              </w:rPr>
              <w:t>人</w:t>
            </w:r>
          </w:p>
        </w:tc>
        <w:tc>
          <w:tcPr>
            <w:tcW w:w="1345" w:type="dxa"/>
          </w:tcPr>
          <w:p w:rsidR="00FD4DEA" w:rsidRPr="00294D7D" w:rsidRDefault="002D4A44" w:rsidP="00504C93">
            <w:pPr>
              <w:kinsoku w:val="0"/>
              <w:overflowPunct w:val="0"/>
              <w:autoSpaceDE w:val="0"/>
              <w:autoSpaceDN w:val="0"/>
              <w:jc w:val="center"/>
              <w:rPr>
                <w:sz w:val="22"/>
              </w:rPr>
            </w:pPr>
            <w:r>
              <w:rPr>
                <w:rFonts w:hint="eastAsia"/>
                <w:sz w:val="22"/>
              </w:rPr>
              <w:t>－</w:t>
            </w:r>
          </w:p>
        </w:tc>
        <w:tc>
          <w:tcPr>
            <w:tcW w:w="1345" w:type="dxa"/>
          </w:tcPr>
          <w:p w:rsidR="00FD4DEA" w:rsidRPr="00294D7D" w:rsidRDefault="002D4A44" w:rsidP="00504C93">
            <w:pPr>
              <w:kinsoku w:val="0"/>
              <w:overflowPunct w:val="0"/>
              <w:autoSpaceDE w:val="0"/>
              <w:autoSpaceDN w:val="0"/>
              <w:jc w:val="center"/>
              <w:rPr>
                <w:sz w:val="22"/>
              </w:rPr>
            </w:pPr>
            <w:r>
              <w:rPr>
                <w:rFonts w:hint="eastAsia"/>
                <w:sz w:val="22"/>
              </w:rPr>
              <w:t>－</w:t>
            </w:r>
          </w:p>
        </w:tc>
        <w:tc>
          <w:tcPr>
            <w:tcW w:w="1345" w:type="dxa"/>
          </w:tcPr>
          <w:p w:rsidR="00FD4DEA" w:rsidRPr="00294D7D" w:rsidRDefault="00FE5741" w:rsidP="00FD4DEA">
            <w:pPr>
              <w:kinsoku w:val="0"/>
              <w:overflowPunct w:val="0"/>
              <w:autoSpaceDE w:val="0"/>
              <w:autoSpaceDN w:val="0"/>
              <w:rPr>
                <w:sz w:val="22"/>
              </w:rPr>
            </w:pPr>
            <w:r>
              <w:rPr>
                <w:rFonts w:hint="eastAsia"/>
                <w:sz w:val="22"/>
              </w:rPr>
              <w:t>R3まで中止</w:t>
            </w:r>
          </w:p>
        </w:tc>
      </w:tr>
    </w:tbl>
    <w:p w:rsidR="00FD4DEA" w:rsidRPr="00294D7D" w:rsidRDefault="00FD4DEA" w:rsidP="00FD4DEA">
      <w:pPr>
        <w:kinsoku w:val="0"/>
        <w:overflowPunct w:val="0"/>
        <w:autoSpaceDE w:val="0"/>
        <w:autoSpaceDN w:val="0"/>
        <w:rPr>
          <w:sz w:val="22"/>
        </w:rPr>
      </w:pPr>
    </w:p>
    <w:tbl>
      <w:tblPr>
        <w:tblStyle w:val="a3"/>
        <w:tblW w:w="0" w:type="auto"/>
        <w:tblLook w:val="04A0" w:firstRow="1" w:lastRow="0" w:firstColumn="1" w:lastColumn="0" w:noHBand="0" w:noVBand="1"/>
      </w:tblPr>
      <w:tblGrid>
        <w:gridCol w:w="3681"/>
        <w:gridCol w:w="4027"/>
        <w:gridCol w:w="1352"/>
      </w:tblGrid>
      <w:tr w:rsidR="00AC415C" w:rsidRPr="00294D7D" w:rsidTr="006E5C46">
        <w:tc>
          <w:tcPr>
            <w:tcW w:w="3681" w:type="dxa"/>
          </w:tcPr>
          <w:p w:rsidR="00AC415C" w:rsidRPr="00294D7D" w:rsidRDefault="00E7443D" w:rsidP="00E7443D">
            <w:pPr>
              <w:kinsoku w:val="0"/>
              <w:overflowPunct w:val="0"/>
              <w:autoSpaceDE w:val="0"/>
              <w:autoSpaceDN w:val="0"/>
              <w:rPr>
                <w:sz w:val="22"/>
              </w:rPr>
            </w:pPr>
            <w:r>
              <w:rPr>
                <w:rFonts w:hint="eastAsia"/>
                <w:sz w:val="22"/>
              </w:rPr>
              <w:t>アイヌ施策推進地域計画における</w:t>
            </w:r>
            <w:r w:rsidR="00A353D3">
              <w:rPr>
                <w:rFonts w:hint="eastAsia"/>
                <w:sz w:val="22"/>
              </w:rPr>
              <w:t>（</w:t>
            </w:r>
            <w:r w:rsidR="00F229C5" w:rsidRPr="00294D7D">
              <w:rPr>
                <w:rFonts w:hint="eastAsia"/>
                <w:sz w:val="22"/>
              </w:rPr>
              <w:t>中間</w:t>
            </w:r>
            <w:r w:rsidR="00A353D3">
              <w:rPr>
                <w:rFonts w:hint="eastAsia"/>
                <w:sz w:val="22"/>
              </w:rPr>
              <w:t>）</w:t>
            </w:r>
            <w:r w:rsidR="00F229C5" w:rsidRPr="00294D7D">
              <w:rPr>
                <w:rFonts w:hint="eastAsia"/>
                <w:sz w:val="22"/>
              </w:rPr>
              <w:t>目標</w:t>
            </w:r>
          </w:p>
        </w:tc>
        <w:tc>
          <w:tcPr>
            <w:tcW w:w="4027" w:type="dxa"/>
            <w:vAlign w:val="center"/>
          </w:tcPr>
          <w:p w:rsidR="00AC415C" w:rsidRPr="00294D7D" w:rsidRDefault="00F229C5" w:rsidP="006E5C46">
            <w:pPr>
              <w:kinsoku w:val="0"/>
              <w:overflowPunct w:val="0"/>
              <w:autoSpaceDE w:val="0"/>
              <w:autoSpaceDN w:val="0"/>
              <w:jc w:val="center"/>
              <w:rPr>
                <w:sz w:val="22"/>
              </w:rPr>
            </w:pPr>
            <w:r w:rsidRPr="00294D7D">
              <w:rPr>
                <w:rFonts w:hint="eastAsia"/>
                <w:sz w:val="22"/>
              </w:rPr>
              <w:t>達成状況</w:t>
            </w:r>
          </w:p>
        </w:tc>
        <w:tc>
          <w:tcPr>
            <w:tcW w:w="1352" w:type="dxa"/>
            <w:vAlign w:val="center"/>
          </w:tcPr>
          <w:p w:rsidR="00AC415C" w:rsidRPr="00294D7D" w:rsidRDefault="00F229C5" w:rsidP="006E5C46">
            <w:pPr>
              <w:kinsoku w:val="0"/>
              <w:overflowPunct w:val="0"/>
              <w:autoSpaceDE w:val="0"/>
              <w:autoSpaceDN w:val="0"/>
              <w:jc w:val="center"/>
              <w:rPr>
                <w:sz w:val="22"/>
              </w:rPr>
            </w:pPr>
            <w:r w:rsidRPr="00294D7D">
              <w:rPr>
                <w:rFonts w:hint="eastAsia"/>
                <w:sz w:val="22"/>
              </w:rPr>
              <w:t>備考</w:t>
            </w:r>
          </w:p>
        </w:tc>
      </w:tr>
      <w:tr w:rsidR="002D4A44" w:rsidRPr="00294D7D" w:rsidTr="00AC415C">
        <w:tc>
          <w:tcPr>
            <w:tcW w:w="3681" w:type="dxa"/>
          </w:tcPr>
          <w:p w:rsidR="002D4A44" w:rsidRPr="00294D7D" w:rsidRDefault="002D4A44" w:rsidP="002D4A44">
            <w:pPr>
              <w:kinsoku w:val="0"/>
              <w:overflowPunct w:val="0"/>
              <w:autoSpaceDE w:val="0"/>
              <w:autoSpaceDN w:val="0"/>
              <w:rPr>
                <w:sz w:val="22"/>
              </w:rPr>
            </w:pPr>
            <w:r w:rsidRPr="00294D7D">
              <w:rPr>
                <w:rFonts w:hint="eastAsia"/>
                <w:sz w:val="22"/>
              </w:rPr>
              <w:t>アイヌ伝統文化空間来訪者数</w:t>
            </w:r>
          </w:p>
        </w:tc>
        <w:tc>
          <w:tcPr>
            <w:tcW w:w="4027" w:type="dxa"/>
          </w:tcPr>
          <w:p w:rsidR="00BD6283" w:rsidRPr="00BD6283" w:rsidRDefault="00D2613D" w:rsidP="000D1E9A">
            <w:pPr>
              <w:kinsoku w:val="0"/>
              <w:overflowPunct w:val="0"/>
              <w:autoSpaceDE w:val="0"/>
              <w:autoSpaceDN w:val="0"/>
              <w:rPr>
                <w:sz w:val="22"/>
              </w:rPr>
            </w:pPr>
            <w:r>
              <w:rPr>
                <w:rFonts w:hint="eastAsia"/>
                <w:sz w:val="22"/>
              </w:rPr>
              <w:t>新型コロナウイルス感染症の影響</w:t>
            </w:r>
            <w:r w:rsidR="000D1E9A">
              <w:rPr>
                <w:rFonts w:hint="eastAsia"/>
                <w:sz w:val="22"/>
              </w:rPr>
              <w:t>により、</w:t>
            </w:r>
            <w:r w:rsidR="00637278">
              <w:rPr>
                <w:rFonts w:hint="eastAsia"/>
                <w:sz w:val="22"/>
              </w:rPr>
              <w:t>各種行事等</w:t>
            </w:r>
            <w:r w:rsidR="000509F2">
              <w:rPr>
                <w:rFonts w:hint="eastAsia"/>
                <w:sz w:val="22"/>
              </w:rPr>
              <w:t>が</w:t>
            </w:r>
            <w:r w:rsidR="00637278">
              <w:rPr>
                <w:rFonts w:hint="eastAsia"/>
                <w:sz w:val="22"/>
              </w:rPr>
              <w:t>中止又は縮小</w:t>
            </w:r>
            <w:r w:rsidR="000509F2">
              <w:rPr>
                <w:rFonts w:hint="eastAsia"/>
                <w:sz w:val="22"/>
              </w:rPr>
              <w:t>となったが、</w:t>
            </w:r>
            <w:r w:rsidR="000D1E9A">
              <w:rPr>
                <w:rFonts w:hint="eastAsia"/>
                <w:sz w:val="22"/>
              </w:rPr>
              <w:t>屋外エリアへの来訪者によって</w:t>
            </w:r>
            <w:r w:rsidR="000509F2">
              <w:rPr>
                <w:rFonts w:hint="eastAsia"/>
                <w:sz w:val="22"/>
              </w:rPr>
              <w:t>目標値を達成した。</w:t>
            </w:r>
          </w:p>
        </w:tc>
        <w:tc>
          <w:tcPr>
            <w:tcW w:w="1352" w:type="dxa"/>
          </w:tcPr>
          <w:p w:rsidR="002D4A44" w:rsidRPr="00294D7D" w:rsidRDefault="002D4A44" w:rsidP="002D4A44">
            <w:pPr>
              <w:kinsoku w:val="0"/>
              <w:overflowPunct w:val="0"/>
              <w:autoSpaceDE w:val="0"/>
              <w:autoSpaceDN w:val="0"/>
              <w:rPr>
                <w:sz w:val="22"/>
              </w:rPr>
            </w:pPr>
          </w:p>
        </w:tc>
      </w:tr>
      <w:tr w:rsidR="002D4A44" w:rsidRPr="00294D7D" w:rsidTr="00AC415C">
        <w:tc>
          <w:tcPr>
            <w:tcW w:w="3681" w:type="dxa"/>
          </w:tcPr>
          <w:p w:rsidR="002D4A44" w:rsidRPr="00294D7D" w:rsidRDefault="002D4A44" w:rsidP="002D4A44">
            <w:pPr>
              <w:kinsoku w:val="0"/>
              <w:overflowPunct w:val="0"/>
              <w:autoSpaceDE w:val="0"/>
              <w:autoSpaceDN w:val="0"/>
              <w:rPr>
                <w:sz w:val="22"/>
              </w:rPr>
            </w:pPr>
            <w:r w:rsidRPr="00294D7D">
              <w:rPr>
                <w:rFonts w:hint="eastAsia"/>
                <w:sz w:val="22"/>
              </w:rPr>
              <w:t>ウレシパチセ入館者数</w:t>
            </w:r>
          </w:p>
        </w:tc>
        <w:tc>
          <w:tcPr>
            <w:tcW w:w="4027" w:type="dxa"/>
          </w:tcPr>
          <w:p w:rsidR="00BD6283" w:rsidRPr="00294D7D" w:rsidRDefault="000509F2" w:rsidP="000509F2">
            <w:pPr>
              <w:kinsoku w:val="0"/>
              <w:overflowPunct w:val="0"/>
              <w:autoSpaceDE w:val="0"/>
              <w:autoSpaceDN w:val="0"/>
              <w:rPr>
                <w:sz w:val="22"/>
              </w:rPr>
            </w:pPr>
            <w:r>
              <w:rPr>
                <w:rFonts w:hint="eastAsia"/>
                <w:sz w:val="22"/>
              </w:rPr>
              <w:t>新型コロナウイルス感染症の影響により、各種行事等の中止又は縮小のほか休館等の措置に伴い、入館者数が減少</w:t>
            </w:r>
            <w:r w:rsidR="00E70472">
              <w:rPr>
                <w:rFonts w:hint="eastAsia"/>
                <w:sz w:val="22"/>
              </w:rPr>
              <w:t>し</w:t>
            </w:r>
            <w:r>
              <w:rPr>
                <w:rFonts w:hint="eastAsia"/>
                <w:sz w:val="22"/>
              </w:rPr>
              <w:t>、目標値の達成には至らなかった。</w:t>
            </w:r>
          </w:p>
        </w:tc>
        <w:tc>
          <w:tcPr>
            <w:tcW w:w="1352" w:type="dxa"/>
          </w:tcPr>
          <w:p w:rsidR="002D4A44" w:rsidRPr="00294D7D" w:rsidRDefault="002D4A44" w:rsidP="002D4A44">
            <w:pPr>
              <w:kinsoku w:val="0"/>
              <w:overflowPunct w:val="0"/>
              <w:autoSpaceDE w:val="0"/>
              <w:autoSpaceDN w:val="0"/>
              <w:rPr>
                <w:sz w:val="22"/>
              </w:rPr>
            </w:pPr>
          </w:p>
        </w:tc>
      </w:tr>
      <w:tr w:rsidR="002D4A44" w:rsidRPr="00294D7D" w:rsidTr="00AC415C">
        <w:tc>
          <w:tcPr>
            <w:tcW w:w="3681" w:type="dxa"/>
          </w:tcPr>
          <w:p w:rsidR="002D4A44" w:rsidRPr="00294D7D" w:rsidRDefault="002D4A44" w:rsidP="002D4A44">
            <w:pPr>
              <w:kinsoku w:val="0"/>
              <w:overflowPunct w:val="0"/>
              <w:autoSpaceDE w:val="0"/>
              <w:autoSpaceDN w:val="0"/>
              <w:rPr>
                <w:sz w:val="22"/>
              </w:rPr>
            </w:pPr>
            <w:r w:rsidRPr="00294D7D">
              <w:rPr>
                <w:rFonts w:hint="eastAsia"/>
                <w:sz w:val="22"/>
              </w:rPr>
              <w:t>保護者満足度</w:t>
            </w:r>
          </w:p>
        </w:tc>
        <w:tc>
          <w:tcPr>
            <w:tcW w:w="4027" w:type="dxa"/>
          </w:tcPr>
          <w:p w:rsidR="00BD6283" w:rsidRPr="00294D7D" w:rsidRDefault="00112742" w:rsidP="00112742">
            <w:pPr>
              <w:kinsoku w:val="0"/>
              <w:overflowPunct w:val="0"/>
              <w:autoSpaceDE w:val="0"/>
              <w:autoSpaceDN w:val="0"/>
              <w:rPr>
                <w:sz w:val="22"/>
              </w:rPr>
            </w:pPr>
            <w:r>
              <w:rPr>
                <w:rFonts w:hint="eastAsia"/>
                <w:sz w:val="22"/>
              </w:rPr>
              <w:t>園児が前向きに笑顔で取り組む姿勢が見られ、保護者調査の結果から目標値を達成した。</w:t>
            </w:r>
          </w:p>
        </w:tc>
        <w:tc>
          <w:tcPr>
            <w:tcW w:w="1352" w:type="dxa"/>
          </w:tcPr>
          <w:p w:rsidR="002D4A44" w:rsidRPr="00294D7D" w:rsidRDefault="002D4A44" w:rsidP="002D4A44">
            <w:pPr>
              <w:kinsoku w:val="0"/>
              <w:overflowPunct w:val="0"/>
              <w:autoSpaceDE w:val="0"/>
              <w:autoSpaceDN w:val="0"/>
              <w:rPr>
                <w:sz w:val="22"/>
              </w:rPr>
            </w:pPr>
          </w:p>
        </w:tc>
      </w:tr>
      <w:tr w:rsidR="002D4A44" w:rsidRPr="00294D7D" w:rsidTr="00AC415C">
        <w:tc>
          <w:tcPr>
            <w:tcW w:w="3681" w:type="dxa"/>
          </w:tcPr>
          <w:p w:rsidR="002D4A44" w:rsidRPr="00294D7D" w:rsidRDefault="002D4A44" w:rsidP="002D4A44">
            <w:pPr>
              <w:kinsoku w:val="0"/>
              <w:overflowPunct w:val="0"/>
              <w:autoSpaceDE w:val="0"/>
              <w:autoSpaceDN w:val="0"/>
              <w:rPr>
                <w:sz w:val="22"/>
              </w:rPr>
            </w:pPr>
            <w:r w:rsidRPr="00294D7D">
              <w:rPr>
                <w:rFonts w:hint="eastAsia"/>
                <w:sz w:val="22"/>
              </w:rPr>
              <w:t>学習支援利用率</w:t>
            </w:r>
          </w:p>
        </w:tc>
        <w:tc>
          <w:tcPr>
            <w:tcW w:w="4027" w:type="dxa"/>
          </w:tcPr>
          <w:p w:rsidR="00BD6283" w:rsidRPr="00294D7D" w:rsidRDefault="00A42569" w:rsidP="00792531">
            <w:pPr>
              <w:kinsoku w:val="0"/>
              <w:overflowPunct w:val="0"/>
              <w:autoSpaceDE w:val="0"/>
              <w:autoSpaceDN w:val="0"/>
              <w:rPr>
                <w:sz w:val="22"/>
              </w:rPr>
            </w:pPr>
            <w:r>
              <w:rPr>
                <w:rFonts w:hint="eastAsia"/>
                <w:sz w:val="22"/>
              </w:rPr>
              <w:t>参加児童が楽しく学習に向き合いながら自主的に取り組む姿勢</w:t>
            </w:r>
            <w:r w:rsidR="00792531">
              <w:rPr>
                <w:rFonts w:hint="eastAsia"/>
                <w:sz w:val="22"/>
              </w:rPr>
              <w:t>と学習への意欲の向上が見られ目標値を達成した。</w:t>
            </w:r>
          </w:p>
        </w:tc>
        <w:tc>
          <w:tcPr>
            <w:tcW w:w="1352" w:type="dxa"/>
          </w:tcPr>
          <w:p w:rsidR="002D4A44" w:rsidRPr="00294D7D" w:rsidRDefault="002D4A44" w:rsidP="002D4A44">
            <w:pPr>
              <w:kinsoku w:val="0"/>
              <w:overflowPunct w:val="0"/>
              <w:autoSpaceDE w:val="0"/>
              <w:autoSpaceDN w:val="0"/>
              <w:rPr>
                <w:sz w:val="22"/>
              </w:rPr>
            </w:pPr>
          </w:p>
        </w:tc>
      </w:tr>
      <w:tr w:rsidR="002D4A44" w:rsidRPr="00294D7D" w:rsidTr="00AC415C">
        <w:tc>
          <w:tcPr>
            <w:tcW w:w="3681" w:type="dxa"/>
          </w:tcPr>
          <w:p w:rsidR="002D4A44" w:rsidRPr="00294D7D" w:rsidRDefault="002D4A44" w:rsidP="002D4A44">
            <w:pPr>
              <w:kinsoku w:val="0"/>
              <w:overflowPunct w:val="0"/>
              <w:autoSpaceDE w:val="0"/>
              <w:autoSpaceDN w:val="0"/>
              <w:rPr>
                <w:sz w:val="22"/>
              </w:rPr>
            </w:pPr>
            <w:r w:rsidRPr="00294D7D">
              <w:rPr>
                <w:rFonts w:hint="eastAsia"/>
                <w:sz w:val="22"/>
              </w:rPr>
              <w:t>学習支援利用者数</w:t>
            </w:r>
          </w:p>
        </w:tc>
        <w:tc>
          <w:tcPr>
            <w:tcW w:w="4027" w:type="dxa"/>
          </w:tcPr>
          <w:p w:rsidR="00BD6283" w:rsidRPr="00294D7D" w:rsidRDefault="00792531" w:rsidP="00204C0E">
            <w:pPr>
              <w:kinsoku w:val="0"/>
              <w:overflowPunct w:val="0"/>
              <w:autoSpaceDE w:val="0"/>
              <w:autoSpaceDN w:val="0"/>
              <w:rPr>
                <w:sz w:val="22"/>
              </w:rPr>
            </w:pPr>
            <w:r>
              <w:rPr>
                <w:rFonts w:hint="eastAsia"/>
                <w:sz w:val="22"/>
              </w:rPr>
              <w:t>会場を公民館から白糠高校へ移設したことにより、利用者の利便性の向上が図られ、目標</w:t>
            </w:r>
            <w:r w:rsidR="000D1E9A">
              <w:rPr>
                <w:rFonts w:hint="eastAsia"/>
                <w:sz w:val="22"/>
              </w:rPr>
              <w:t>値</w:t>
            </w:r>
            <w:r>
              <w:rPr>
                <w:rFonts w:hint="eastAsia"/>
                <w:sz w:val="22"/>
              </w:rPr>
              <w:t>を達成した。</w:t>
            </w:r>
          </w:p>
        </w:tc>
        <w:tc>
          <w:tcPr>
            <w:tcW w:w="1352" w:type="dxa"/>
          </w:tcPr>
          <w:p w:rsidR="002D4A44" w:rsidRPr="00294D7D" w:rsidRDefault="002D4A44" w:rsidP="002D4A44">
            <w:pPr>
              <w:kinsoku w:val="0"/>
              <w:overflowPunct w:val="0"/>
              <w:autoSpaceDE w:val="0"/>
              <w:autoSpaceDN w:val="0"/>
              <w:rPr>
                <w:sz w:val="22"/>
              </w:rPr>
            </w:pPr>
          </w:p>
        </w:tc>
      </w:tr>
      <w:tr w:rsidR="002D4A44" w:rsidRPr="00294D7D" w:rsidTr="00AC415C">
        <w:tc>
          <w:tcPr>
            <w:tcW w:w="3681" w:type="dxa"/>
          </w:tcPr>
          <w:p w:rsidR="002D4A44" w:rsidRPr="00294D7D" w:rsidRDefault="002D4A44" w:rsidP="002D4A44">
            <w:pPr>
              <w:kinsoku w:val="0"/>
              <w:overflowPunct w:val="0"/>
              <w:autoSpaceDE w:val="0"/>
              <w:autoSpaceDN w:val="0"/>
              <w:rPr>
                <w:sz w:val="22"/>
              </w:rPr>
            </w:pPr>
            <w:r w:rsidRPr="00294D7D">
              <w:rPr>
                <w:rFonts w:hint="eastAsia"/>
                <w:sz w:val="22"/>
              </w:rPr>
              <w:t>海外研修等事業参加生徒数</w:t>
            </w:r>
          </w:p>
        </w:tc>
        <w:tc>
          <w:tcPr>
            <w:tcW w:w="4027" w:type="dxa"/>
          </w:tcPr>
          <w:p w:rsidR="00BD6283" w:rsidRPr="00294D7D" w:rsidRDefault="00B85DF0" w:rsidP="00B85DF0">
            <w:pPr>
              <w:kinsoku w:val="0"/>
              <w:overflowPunct w:val="0"/>
              <w:autoSpaceDE w:val="0"/>
              <w:autoSpaceDN w:val="0"/>
              <w:rPr>
                <w:sz w:val="22"/>
              </w:rPr>
            </w:pPr>
            <w:r>
              <w:rPr>
                <w:rFonts w:hint="eastAsia"/>
                <w:sz w:val="22"/>
              </w:rPr>
              <w:t>新型コロナウイルス感染症の影響により、令和３年度まで事業を中止した。</w:t>
            </w:r>
          </w:p>
        </w:tc>
        <w:tc>
          <w:tcPr>
            <w:tcW w:w="1352" w:type="dxa"/>
          </w:tcPr>
          <w:p w:rsidR="002D4A44" w:rsidRPr="00294D7D" w:rsidRDefault="002D4A44" w:rsidP="002D4A44">
            <w:pPr>
              <w:kinsoku w:val="0"/>
              <w:overflowPunct w:val="0"/>
              <w:autoSpaceDE w:val="0"/>
              <w:autoSpaceDN w:val="0"/>
              <w:rPr>
                <w:sz w:val="22"/>
              </w:rPr>
            </w:pPr>
          </w:p>
        </w:tc>
      </w:tr>
    </w:tbl>
    <w:p w:rsidR="00AC415C" w:rsidRDefault="00AC415C" w:rsidP="00FD4DEA">
      <w:pPr>
        <w:kinsoku w:val="0"/>
        <w:overflowPunct w:val="0"/>
        <w:autoSpaceDE w:val="0"/>
        <w:autoSpaceDN w:val="0"/>
        <w:rPr>
          <w:sz w:val="22"/>
        </w:rPr>
      </w:pPr>
    </w:p>
    <w:tbl>
      <w:tblPr>
        <w:tblStyle w:val="a3"/>
        <w:tblW w:w="0" w:type="auto"/>
        <w:tblLook w:val="04A0" w:firstRow="1" w:lastRow="0" w:firstColumn="1" w:lastColumn="0" w:noHBand="0" w:noVBand="1"/>
      </w:tblPr>
      <w:tblGrid>
        <w:gridCol w:w="9060"/>
      </w:tblGrid>
      <w:tr w:rsidR="008772F9" w:rsidTr="008772F9">
        <w:tc>
          <w:tcPr>
            <w:tcW w:w="9060" w:type="dxa"/>
          </w:tcPr>
          <w:p w:rsidR="008772F9" w:rsidRDefault="008772F9" w:rsidP="00FD4DEA">
            <w:pPr>
              <w:kinsoku w:val="0"/>
              <w:overflowPunct w:val="0"/>
              <w:autoSpaceDE w:val="0"/>
              <w:autoSpaceDN w:val="0"/>
              <w:rPr>
                <w:sz w:val="22"/>
              </w:rPr>
            </w:pPr>
            <w:r>
              <w:rPr>
                <w:rFonts w:hint="eastAsia"/>
                <w:sz w:val="22"/>
              </w:rPr>
              <w:lastRenderedPageBreak/>
              <w:t>【</w:t>
            </w:r>
            <w:r w:rsidRPr="00294D7D">
              <w:rPr>
                <w:rFonts w:hint="eastAsia"/>
                <w:sz w:val="22"/>
              </w:rPr>
              <w:t>アイヌ施策推進地域計画</w:t>
            </w:r>
            <w:r>
              <w:rPr>
                <w:rFonts w:hint="eastAsia"/>
                <w:sz w:val="22"/>
              </w:rPr>
              <w:t>における意見等】</w:t>
            </w:r>
          </w:p>
          <w:p w:rsidR="008772F9" w:rsidRPr="000F13D7" w:rsidRDefault="00B85DF0" w:rsidP="001278FC">
            <w:pPr>
              <w:kinsoku w:val="0"/>
              <w:overflowPunct w:val="0"/>
              <w:autoSpaceDE w:val="0"/>
              <w:autoSpaceDN w:val="0"/>
              <w:rPr>
                <w:sz w:val="22"/>
              </w:rPr>
            </w:pPr>
            <w:r>
              <w:rPr>
                <w:rFonts w:hint="eastAsia"/>
                <w:sz w:val="22"/>
              </w:rPr>
              <w:t>アイヌ関連団体との</w:t>
            </w:r>
            <w:r w:rsidR="00125CC5">
              <w:rPr>
                <w:rFonts w:hint="eastAsia"/>
                <w:sz w:val="22"/>
              </w:rPr>
              <w:t>基本認識を共有しながら、</w:t>
            </w:r>
            <w:r w:rsidR="000F13D7">
              <w:rPr>
                <w:rFonts w:hint="eastAsia"/>
                <w:sz w:val="22"/>
              </w:rPr>
              <w:t>各種施策を展開していく必要がある。</w:t>
            </w:r>
          </w:p>
        </w:tc>
      </w:tr>
    </w:tbl>
    <w:p w:rsidR="008772F9" w:rsidRDefault="008772F9">
      <w:pPr>
        <w:widowControl/>
        <w:jc w:val="left"/>
        <w:rPr>
          <w:sz w:val="22"/>
        </w:rPr>
      </w:pPr>
    </w:p>
    <w:p w:rsidR="0018668F" w:rsidRDefault="0018668F">
      <w:pPr>
        <w:widowControl/>
        <w:jc w:val="left"/>
        <w:rPr>
          <w:sz w:val="22"/>
        </w:rPr>
      </w:pPr>
    </w:p>
    <w:p w:rsidR="00F229C5" w:rsidRDefault="00F229C5" w:rsidP="00FD4DEA">
      <w:pPr>
        <w:kinsoku w:val="0"/>
        <w:overflowPunct w:val="0"/>
        <w:autoSpaceDE w:val="0"/>
        <w:autoSpaceDN w:val="0"/>
        <w:rPr>
          <w:sz w:val="22"/>
        </w:rPr>
      </w:pPr>
      <w:r w:rsidRPr="00294D7D">
        <w:rPr>
          <w:rFonts w:hint="eastAsia"/>
          <w:sz w:val="22"/>
        </w:rPr>
        <w:t>２．</w:t>
      </w:r>
      <w:r w:rsidR="00A353D3">
        <w:rPr>
          <w:rFonts w:hint="eastAsia"/>
          <w:sz w:val="22"/>
        </w:rPr>
        <w:t>（</w:t>
      </w:r>
      <w:r w:rsidRPr="00294D7D">
        <w:rPr>
          <w:rFonts w:hint="eastAsia"/>
          <w:sz w:val="22"/>
        </w:rPr>
        <w:t>中間</w:t>
      </w:r>
      <w:r w:rsidR="00A353D3">
        <w:rPr>
          <w:rFonts w:hint="eastAsia"/>
          <w:sz w:val="22"/>
        </w:rPr>
        <w:t>）</w:t>
      </w:r>
      <w:r w:rsidRPr="00294D7D">
        <w:rPr>
          <w:rFonts w:hint="eastAsia"/>
          <w:sz w:val="22"/>
        </w:rPr>
        <w:t>目標達成のために実施した各事業の進捗状況と効果</w:t>
      </w:r>
    </w:p>
    <w:p w:rsidR="0042074B" w:rsidRPr="00294D7D" w:rsidRDefault="0042074B" w:rsidP="00FD4DEA">
      <w:pPr>
        <w:kinsoku w:val="0"/>
        <w:overflowPunct w:val="0"/>
        <w:autoSpaceDE w:val="0"/>
        <w:autoSpaceDN w:val="0"/>
        <w:rPr>
          <w:sz w:val="22"/>
        </w:rPr>
      </w:pPr>
      <w:r>
        <w:rPr>
          <w:rFonts w:hint="eastAsia"/>
          <w:sz w:val="22"/>
        </w:rPr>
        <w:t xml:space="preserve">　⑴　</w:t>
      </w:r>
      <w:r w:rsidR="006E5C46">
        <w:rPr>
          <w:rFonts w:hint="eastAsia"/>
          <w:sz w:val="22"/>
        </w:rPr>
        <w:t>アイヌ文化の保存又は</w:t>
      </w:r>
      <w:r w:rsidR="00504C93">
        <w:rPr>
          <w:rFonts w:hint="eastAsia"/>
          <w:sz w:val="22"/>
        </w:rPr>
        <w:t>継承</w:t>
      </w:r>
      <w:r w:rsidR="006E5C46">
        <w:rPr>
          <w:rFonts w:hint="eastAsia"/>
          <w:sz w:val="22"/>
        </w:rPr>
        <w:t>に資する事業</w:t>
      </w:r>
    </w:p>
    <w:tbl>
      <w:tblPr>
        <w:tblStyle w:val="a3"/>
        <w:tblW w:w="0" w:type="auto"/>
        <w:tblLook w:val="04A0" w:firstRow="1" w:lastRow="0" w:firstColumn="1" w:lastColumn="0" w:noHBand="0" w:noVBand="1"/>
      </w:tblPr>
      <w:tblGrid>
        <w:gridCol w:w="7225"/>
        <w:gridCol w:w="1835"/>
      </w:tblGrid>
      <w:tr w:rsidR="00F229C5" w:rsidRPr="00294D7D" w:rsidTr="006E5C46">
        <w:tc>
          <w:tcPr>
            <w:tcW w:w="7225" w:type="dxa"/>
          </w:tcPr>
          <w:p w:rsidR="00F229C5" w:rsidRPr="00294D7D" w:rsidRDefault="00F229C5" w:rsidP="00321FB0">
            <w:pPr>
              <w:kinsoku w:val="0"/>
              <w:overflowPunct w:val="0"/>
              <w:autoSpaceDE w:val="0"/>
              <w:autoSpaceDN w:val="0"/>
              <w:jc w:val="center"/>
              <w:rPr>
                <w:sz w:val="22"/>
              </w:rPr>
            </w:pPr>
            <w:r w:rsidRPr="00294D7D">
              <w:rPr>
                <w:rFonts w:hint="eastAsia"/>
                <w:sz w:val="22"/>
              </w:rPr>
              <w:t>事業の進捗状況</w:t>
            </w:r>
          </w:p>
        </w:tc>
        <w:tc>
          <w:tcPr>
            <w:tcW w:w="1835" w:type="dxa"/>
          </w:tcPr>
          <w:p w:rsidR="00F229C5" w:rsidRPr="00294D7D" w:rsidRDefault="00321FB0" w:rsidP="00321FB0">
            <w:pPr>
              <w:kinsoku w:val="0"/>
              <w:overflowPunct w:val="0"/>
              <w:autoSpaceDE w:val="0"/>
              <w:autoSpaceDN w:val="0"/>
              <w:jc w:val="center"/>
              <w:rPr>
                <w:sz w:val="22"/>
              </w:rPr>
            </w:pPr>
            <w:r w:rsidRPr="00294D7D">
              <w:rPr>
                <w:rFonts w:hint="eastAsia"/>
                <w:sz w:val="22"/>
              </w:rPr>
              <w:t>事業実施主体</w:t>
            </w:r>
          </w:p>
        </w:tc>
      </w:tr>
      <w:tr w:rsidR="00F229C5" w:rsidRPr="00294D7D" w:rsidTr="006E5C46">
        <w:tc>
          <w:tcPr>
            <w:tcW w:w="7225" w:type="dxa"/>
          </w:tcPr>
          <w:p w:rsidR="00D37C6C" w:rsidRDefault="00D37C6C" w:rsidP="00FD4DEA">
            <w:pPr>
              <w:kinsoku w:val="0"/>
              <w:overflowPunct w:val="0"/>
              <w:autoSpaceDE w:val="0"/>
              <w:autoSpaceDN w:val="0"/>
              <w:rPr>
                <w:sz w:val="22"/>
              </w:rPr>
            </w:pPr>
            <w:r>
              <w:rPr>
                <w:rFonts w:hint="eastAsia"/>
                <w:sz w:val="22"/>
              </w:rPr>
              <w:t>・伝統的コタン再生整備事業</w:t>
            </w:r>
          </w:p>
          <w:p w:rsidR="00D37C6C" w:rsidRPr="00294D7D" w:rsidRDefault="001C1A9D" w:rsidP="00FD4DEA">
            <w:pPr>
              <w:kinsoku w:val="0"/>
              <w:overflowPunct w:val="0"/>
              <w:autoSpaceDE w:val="0"/>
              <w:autoSpaceDN w:val="0"/>
              <w:rPr>
                <w:sz w:val="22"/>
              </w:rPr>
            </w:pPr>
            <w:r>
              <w:rPr>
                <w:rFonts w:hint="eastAsia"/>
                <w:sz w:val="22"/>
              </w:rPr>
              <w:t>アイヌ文化を育んできた往時の伝統的な住居・生活空間を再現してコタン再生を図り、体験学習・交流イベント・企画展など多様な活動を実践する場として整備するための実施設計業務を行った。</w:t>
            </w:r>
          </w:p>
        </w:tc>
        <w:tc>
          <w:tcPr>
            <w:tcW w:w="1835" w:type="dxa"/>
            <w:vAlign w:val="center"/>
          </w:tcPr>
          <w:p w:rsidR="00F229C5" w:rsidRPr="00294D7D" w:rsidRDefault="006E5C46" w:rsidP="006E5C46">
            <w:pPr>
              <w:kinsoku w:val="0"/>
              <w:overflowPunct w:val="0"/>
              <w:autoSpaceDE w:val="0"/>
              <w:autoSpaceDN w:val="0"/>
              <w:jc w:val="center"/>
              <w:rPr>
                <w:sz w:val="22"/>
              </w:rPr>
            </w:pPr>
            <w:r>
              <w:rPr>
                <w:rFonts w:hint="eastAsia"/>
                <w:sz w:val="22"/>
              </w:rPr>
              <w:t>白糠町</w:t>
            </w:r>
          </w:p>
        </w:tc>
      </w:tr>
      <w:tr w:rsidR="00321FB0" w:rsidRPr="00294D7D" w:rsidTr="008F1027">
        <w:tc>
          <w:tcPr>
            <w:tcW w:w="9060" w:type="dxa"/>
            <w:gridSpan w:val="2"/>
          </w:tcPr>
          <w:p w:rsidR="00321FB0" w:rsidRPr="00294D7D" w:rsidRDefault="00321FB0" w:rsidP="00FD4DEA">
            <w:pPr>
              <w:kinsoku w:val="0"/>
              <w:overflowPunct w:val="0"/>
              <w:autoSpaceDE w:val="0"/>
              <w:autoSpaceDN w:val="0"/>
              <w:rPr>
                <w:sz w:val="22"/>
              </w:rPr>
            </w:pPr>
            <w:r w:rsidRPr="00294D7D">
              <w:rPr>
                <w:rFonts w:hint="eastAsia"/>
                <w:sz w:val="22"/>
              </w:rPr>
              <w:t>事業の効果</w:t>
            </w:r>
          </w:p>
        </w:tc>
      </w:tr>
      <w:tr w:rsidR="00321FB0" w:rsidRPr="00294D7D" w:rsidTr="008F1027">
        <w:tc>
          <w:tcPr>
            <w:tcW w:w="9060" w:type="dxa"/>
            <w:gridSpan w:val="2"/>
          </w:tcPr>
          <w:p w:rsidR="00D37C6C" w:rsidRPr="00294D7D" w:rsidRDefault="004C1420" w:rsidP="00E27A8A">
            <w:pPr>
              <w:kinsoku w:val="0"/>
              <w:overflowPunct w:val="0"/>
              <w:autoSpaceDE w:val="0"/>
              <w:autoSpaceDN w:val="0"/>
              <w:rPr>
                <w:sz w:val="22"/>
              </w:rPr>
            </w:pPr>
            <w:r>
              <w:rPr>
                <w:rFonts w:hint="eastAsia"/>
                <w:sz w:val="22"/>
              </w:rPr>
              <w:t>アイヌ文化の保存・伝承と</w:t>
            </w:r>
            <w:r w:rsidR="001C1A9D">
              <w:rPr>
                <w:rFonts w:hint="eastAsia"/>
                <w:sz w:val="22"/>
              </w:rPr>
              <w:t>普及活動を図るための拠点として整備を継続</w:t>
            </w:r>
            <w:r w:rsidR="00E27A8A">
              <w:rPr>
                <w:rFonts w:hint="eastAsia"/>
                <w:sz w:val="22"/>
              </w:rPr>
              <w:t>し</w:t>
            </w:r>
            <w:r w:rsidR="0096773E">
              <w:rPr>
                <w:rFonts w:hint="eastAsia"/>
                <w:sz w:val="22"/>
              </w:rPr>
              <w:t>、</w:t>
            </w:r>
            <w:r w:rsidR="001C1A9D">
              <w:rPr>
                <w:rFonts w:hint="eastAsia"/>
                <w:sz w:val="22"/>
              </w:rPr>
              <w:t>交流活動の活発化、交流人口の創出・拡大</w:t>
            </w:r>
            <w:r w:rsidR="00705DC1">
              <w:rPr>
                <w:rFonts w:hint="eastAsia"/>
                <w:sz w:val="22"/>
              </w:rPr>
              <w:t>、アイヌ伝統文化への理解の深化を促進させることによって目標値の達成に</w:t>
            </w:r>
            <w:r w:rsidR="00A35802">
              <w:rPr>
                <w:rFonts w:hint="eastAsia"/>
                <w:sz w:val="22"/>
              </w:rPr>
              <w:t>繋げ</w:t>
            </w:r>
            <w:r w:rsidR="00493AF6">
              <w:rPr>
                <w:rFonts w:hint="eastAsia"/>
                <w:sz w:val="22"/>
              </w:rPr>
              <w:t>てい</w:t>
            </w:r>
            <w:r w:rsidR="00E27A8A">
              <w:rPr>
                <w:rFonts w:hint="eastAsia"/>
                <w:sz w:val="22"/>
              </w:rPr>
              <w:t>る</w:t>
            </w:r>
            <w:r w:rsidR="00493AF6">
              <w:rPr>
                <w:rFonts w:hint="eastAsia"/>
                <w:sz w:val="22"/>
              </w:rPr>
              <w:t>。</w:t>
            </w:r>
          </w:p>
        </w:tc>
      </w:tr>
    </w:tbl>
    <w:p w:rsidR="00F229C5" w:rsidRDefault="00F229C5" w:rsidP="00FD4DEA">
      <w:pPr>
        <w:kinsoku w:val="0"/>
        <w:overflowPunct w:val="0"/>
        <w:autoSpaceDE w:val="0"/>
        <w:autoSpaceDN w:val="0"/>
        <w:rPr>
          <w:sz w:val="22"/>
        </w:rPr>
      </w:pPr>
    </w:p>
    <w:p w:rsidR="006E5C46" w:rsidRDefault="006E5C46" w:rsidP="00FD4DEA">
      <w:pPr>
        <w:kinsoku w:val="0"/>
        <w:overflowPunct w:val="0"/>
        <w:autoSpaceDE w:val="0"/>
        <w:autoSpaceDN w:val="0"/>
        <w:rPr>
          <w:sz w:val="22"/>
        </w:rPr>
      </w:pPr>
      <w:r>
        <w:rPr>
          <w:rFonts w:hint="eastAsia"/>
          <w:sz w:val="22"/>
        </w:rPr>
        <w:t xml:space="preserve">　⑵　</w:t>
      </w:r>
      <w:r w:rsidR="00504C93">
        <w:rPr>
          <w:rFonts w:hint="eastAsia"/>
          <w:sz w:val="22"/>
        </w:rPr>
        <w:t>アイヌの伝統等に関する理解の促進に資する事業</w:t>
      </w:r>
    </w:p>
    <w:tbl>
      <w:tblPr>
        <w:tblStyle w:val="a3"/>
        <w:tblW w:w="0" w:type="auto"/>
        <w:tblLook w:val="04A0" w:firstRow="1" w:lastRow="0" w:firstColumn="1" w:lastColumn="0" w:noHBand="0" w:noVBand="1"/>
      </w:tblPr>
      <w:tblGrid>
        <w:gridCol w:w="7225"/>
        <w:gridCol w:w="1835"/>
      </w:tblGrid>
      <w:tr w:rsidR="007F3C4E" w:rsidRPr="00294D7D" w:rsidTr="008F1027">
        <w:tc>
          <w:tcPr>
            <w:tcW w:w="7225" w:type="dxa"/>
          </w:tcPr>
          <w:p w:rsidR="007F3C4E" w:rsidRPr="00294D7D" w:rsidRDefault="007F3C4E" w:rsidP="008F1027">
            <w:pPr>
              <w:kinsoku w:val="0"/>
              <w:overflowPunct w:val="0"/>
              <w:autoSpaceDE w:val="0"/>
              <w:autoSpaceDN w:val="0"/>
              <w:jc w:val="center"/>
              <w:rPr>
                <w:sz w:val="22"/>
              </w:rPr>
            </w:pPr>
            <w:r w:rsidRPr="00294D7D">
              <w:rPr>
                <w:rFonts w:hint="eastAsia"/>
                <w:sz w:val="22"/>
              </w:rPr>
              <w:t>事業の進捗状況</w:t>
            </w:r>
          </w:p>
        </w:tc>
        <w:tc>
          <w:tcPr>
            <w:tcW w:w="1835" w:type="dxa"/>
          </w:tcPr>
          <w:p w:rsidR="007F3C4E" w:rsidRPr="00294D7D" w:rsidRDefault="007F3C4E" w:rsidP="008F1027">
            <w:pPr>
              <w:kinsoku w:val="0"/>
              <w:overflowPunct w:val="0"/>
              <w:autoSpaceDE w:val="0"/>
              <w:autoSpaceDN w:val="0"/>
              <w:jc w:val="center"/>
              <w:rPr>
                <w:sz w:val="22"/>
              </w:rPr>
            </w:pPr>
            <w:r w:rsidRPr="00294D7D">
              <w:rPr>
                <w:rFonts w:hint="eastAsia"/>
                <w:sz w:val="22"/>
              </w:rPr>
              <w:t>事業実施主体</w:t>
            </w:r>
          </w:p>
        </w:tc>
      </w:tr>
      <w:tr w:rsidR="007F3C4E" w:rsidRPr="00294D7D" w:rsidTr="008F1027">
        <w:tc>
          <w:tcPr>
            <w:tcW w:w="7225" w:type="dxa"/>
          </w:tcPr>
          <w:p w:rsidR="007F3C4E" w:rsidRDefault="00D37C6C" w:rsidP="00D37C6C">
            <w:pPr>
              <w:kinsoku w:val="0"/>
              <w:overflowPunct w:val="0"/>
              <w:autoSpaceDE w:val="0"/>
              <w:autoSpaceDN w:val="0"/>
              <w:rPr>
                <w:sz w:val="22"/>
              </w:rPr>
            </w:pPr>
            <w:r>
              <w:rPr>
                <w:rFonts w:hint="eastAsia"/>
                <w:sz w:val="22"/>
              </w:rPr>
              <w:t>・アイヌ文化の伝承と理解促進のための環境整備事業</w:t>
            </w:r>
          </w:p>
          <w:p w:rsidR="00D37C6C" w:rsidRPr="00294D7D" w:rsidRDefault="001B37EF" w:rsidP="00106A8D">
            <w:pPr>
              <w:kinsoku w:val="0"/>
              <w:overflowPunct w:val="0"/>
              <w:autoSpaceDE w:val="0"/>
              <w:autoSpaceDN w:val="0"/>
              <w:rPr>
                <w:sz w:val="22"/>
              </w:rPr>
            </w:pPr>
            <w:r>
              <w:rPr>
                <w:rFonts w:hint="eastAsia"/>
                <w:sz w:val="22"/>
              </w:rPr>
              <w:t>アイヌの歴史・文化にゆかりがある場所を「アイヌ伝統文化空間」として位置づけ</w:t>
            </w:r>
            <w:r w:rsidR="00106A8D">
              <w:rPr>
                <w:rFonts w:hint="eastAsia"/>
                <w:sz w:val="22"/>
              </w:rPr>
              <w:t>、</w:t>
            </w:r>
            <w:r>
              <w:rPr>
                <w:rFonts w:hint="eastAsia"/>
                <w:sz w:val="22"/>
              </w:rPr>
              <w:t>アイヌ文化を体感・実感し、理解を深めることができる拠点として再整備</w:t>
            </w:r>
            <w:r w:rsidR="00106A8D">
              <w:rPr>
                <w:rFonts w:hint="eastAsia"/>
                <w:sz w:val="22"/>
              </w:rPr>
              <w:t>を行った。</w:t>
            </w:r>
          </w:p>
        </w:tc>
        <w:tc>
          <w:tcPr>
            <w:tcW w:w="1835" w:type="dxa"/>
            <w:vAlign w:val="center"/>
          </w:tcPr>
          <w:p w:rsidR="007F3C4E" w:rsidRPr="00294D7D" w:rsidRDefault="007F3C4E" w:rsidP="008F1027">
            <w:pPr>
              <w:kinsoku w:val="0"/>
              <w:overflowPunct w:val="0"/>
              <w:autoSpaceDE w:val="0"/>
              <w:autoSpaceDN w:val="0"/>
              <w:jc w:val="center"/>
              <w:rPr>
                <w:sz w:val="22"/>
              </w:rPr>
            </w:pPr>
            <w:r>
              <w:rPr>
                <w:rFonts w:hint="eastAsia"/>
                <w:sz w:val="22"/>
              </w:rPr>
              <w:t>白糠町</w:t>
            </w:r>
          </w:p>
        </w:tc>
      </w:tr>
      <w:tr w:rsidR="007F3C4E" w:rsidRPr="00294D7D" w:rsidTr="008F1027">
        <w:tc>
          <w:tcPr>
            <w:tcW w:w="9060" w:type="dxa"/>
            <w:gridSpan w:val="2"/>
          </w:tcPr>
          <w:p w:rsidR="007F3C4E" w:rsidRPr="00294D7D" w:rsidRDefault="007F3C4E" w:rsidP="008F1027">
            <w:pPr>
              <w:kinsoku w:val="0"/>
              <w:overflowPunct w:val="0"/>
              <w:autoSpaceDE w:val="0"/>
              <w:autoSpaceDN w:val="0"/>
              <w:rPr>
                <w:sz w:val="22"/>
              </w:rPr>
            </w:pPr>
            <w:r w:rsidRPr="00294D7D">
              <w:rPr>
                <w:rFonts w:hint="eastAsia"/>
                <w:sz w:val="22"/>
              </w:rPr>
              <w:t>事業の効果</w:t>
            </w:r>
          </w:p>
        </w:tc>
      </w:tr>
      <w:tr w:rsidR="007F3C4E" w:rsidRPr="00294D7D" w:rsidTr="008F1027">
        <w:tc>
          <w:tcPr>
            <w:tcW w:w="9060" w:type="dxa"/>
            <w:gridSpan w:val="2"/>
          </w:tcPr>
          <w:p w:rsidR="00D37C6C" w:rsidRPr="00294D7D" w:rsidRDefault="00106A8D" w:rsidP="00E27A8A">
            <w:pPr>
              <w:kinsoku w:val="0"/>
              <w:overflowPunct w:val="0"/>
              <w:autoSpaceDE w:val="0"/>
              <w:autoSpaceDN w:val="0"/>
              <w:rPr>
                <w:sz w:val="22"/>
              </w:rPr>
            </w:pPr>
            <w:r>
              <w:rPr>
                <w:rFonts w:hint="eastAsia"/>
                <w:sz w:val="22"/>
              </w:rPr>
              <w:t>白糠アイヌの歴史的な舞台や自然との関りを通したアイヌ文化への理解を深める空間として再整備することができ、目標値の達成に繋げ</w:t>
            </w:r>
            <w:r w:rsidR="00E27A8A">
              <w:rPr>
                <w:rFonts w:hint="eastAsia"/>
                <w:sz w:val="22"/>
              </w:rPr>
              <w:t>ている</w:t>
            </w:r>
            <w:r>
              <w:rPr>
                <w:rFonts w:hint="eastAsia"/>
                <w:sz w:val="22"/>
              </w:rPr>
              <w:t>。</w:t>
            </w:r>
          </w:p>
        </w:tc>
      </w:tr>
    </w:tbl>
    <w:p w:rsidR="006E5C46" w:rsidRDefault="006E5C46" w:rsidP="00FD4DEA">
      <w:pPr>
        <w:kinsoku w:val="0"/>
        <w:overflowPunct w:val="0"/>
        <w:autoSpaceDE w:val="0"/>
        <w:autoSpaceDN w:val="0"/>
        <w:rPr>
          <w:sz w:val="22"/>
        </w:rPr>
      </w:pPr>
    </w:p>
    <w:p w:rsidR="006E5C46" w:rsidRDefault="006E5C46" w:rsidP="00FD4DEA">
      <w:pPr>
        <w:kinsoku w:val="0"/>
        <w:overflowPunct w:val="0"/>
        <w:autoSpaceDE w:val="0"/>
        <w:autoSpaceDN w:val="0"/>
        <w:rPr>
          <w:sz w:val="22"/>
        </w:rPr>
      </w:pPr>
      <w:r>
        <w:rPr>
          <w:rFonts w:hint="eastAsia"/>
          <w:sz w:val="22"/>
        </w:rPr>
        <w:t xml:space="preserve">　⑶　</w:t>
      </w:r>
      <w:r w:rsidR="00504C93">
        <w:rPr>
          <w:rFonts w:hint="eastAsia"/>
          <w:sz w:val="22"/>
        </w:rPr>
        <w:t>観光の振興その他の産業の振興に資する事業</w:t>
      </w:r>
    </w:p>
    <w:tbl>
      <w:tblPr>
        <w:tblStyle w:val="a3"/>
        <w:tblW w:w="0" w:type="auto"/>
        <w:tblLook w:val="04A0" w:firstRow="1" w:lastRow="0" w:firstColumn="1" w:lastColumn="0" w:noHBand="0" w:noVBand="1"/>
      </w:tblPr>
      <w:tblGrid>
        <w:gridCol w:w="7225"/>
        <w:gridCol w:w="1835"/>
      </w:tblGrid>
      <w:tr w:rsidR="007F3C4E" w:rsidRPr="00294D7D" w:rsidTr="008F1027">
        <w:tc>
          <w:tcPr>
            <w:tcW w:w="7225" w:type="dxa"/>
          </w:tcPr>
          <w:p w:rsidR="00D37C6C" w:rsidRPr="00294D7D" w:rsidRDefault="007F3C4E" w:rsidP="00D37C6C">
            <w:pPr>
              <w:kinsoku w:val="0"/>
              <w:overflowPunct w:val="0"/>
              <w:autoSpaceDE w:val="0"/>
              <w:autoSpaceDN w:val="0"/>
              <w:jc w:val="center"/>
              <w:rPr>
                <w:sz w:val="22"/>
              </w:rPr>
            </w:pPr>
            <w:r w:rsidRPr="00294D7D">
              <w:rPr>
                <w:rFonts w:hint="eastAsia"/>
                <w:sz w:val="22"/>
              </w:rPr>
              <w:t>事業の進捗状況</w:t>
            </w:r>
          </w:p>
        </w:tc>
        <w:tc>
          <w:tcPr>
            <w:tcW w:w="1835" w:type="dxa"/>
          </w:tcPr>
          <w:p w:rsidR="007F3C4E" w:rsidRPr="00294D7D" w:rsidRDefault="007F3C4E" w:rsidP="008F1027">
            <w:pPr>
              <w:kinsoku w:val="0"/>
              <w:overflowPunct w:val="0"/>
              <w:autoSpaceDE w:val="0"/>
              <w:autoSpaceDN w:val="0"/>
              <w:jc w:val="center"/>
              <w:rPr>
                <w:sz w:val="22"/>
              </w:rPr>
            </w:pPr>
            <w:r w:rsidRPr="00294D7D">
              <w:rPr>
                <w:rFonts w:hint="eastAsia"/>
                <w:sz w:val="22"/>
              </w:rPr>
              <w:t>事業実施主体</w:t>
            </w:r>
          </w:p>
        </w:tc>
      </w:tr>
      <w:tr w:rsidR="007F3C4E" w:rsidRPr="00294D7D" w:rsidTr="008F1027">
        <w:tc>
          <w:tcPr>
            <w:tcW w:w="7225" w:type="dxa"/>
          </w:tcPr>
          <w:p w:rsidR="007F3C4E" w:rsidRDefault="00D37C6C" w:rsidP="008F1027">
            <w:pPr>
              <w:kinsoku w:val="0"/>
              <w:overflowPunct w:val="0"/>
              <w:autoSpaceDE w:val="0"/>
              <w:autoSpaceDN w:val="0"/>
              <w:rPr>
                <w:sz w:val="22"/>
              </w:rPr>
            </w:pPr>
            <w:r>
              <w:rPr>
                <w:rFonts w:hint="eastAsia"/>
                <w:sz w:val="22"/>
              </w:rPr>
              <w:t>・白糠アイヌの伝承拠点を巡るツアー開発事業（情報発信）</w:t>
            </w:r>
          </w:p>
          <w:p w:rsidR="00D37C6C" w:rsidRPr="00294D7D" w:rsidRDefault="00E27A8A" w:rsidP="00E27A8A">
            <w:pPr>
              <w:kinsoku w:val="0"/>
              <w:overflowPunct w:val="0"/>
              <w:autoSpaceDE w:val="0"/>
              <w:autoSpaceDN w:val="0"/>
              <w:rPr>
                <w:sz w:val="22"/>
              </w:rPr>
            </w:pPr>
            <w:r>
              <w:rPr>
                <w:rFonts w:hint="eastAsia"/>
                <w:sz w:val="22"/>
              </w:rPr>
              <w:t>海外向け放送番組の制作・放送をはじめ、交流事業、</w:t>
            </w:r>
            <w:r w:rsidR="00331E34">
              <w:rPr>
                <w:rFonts w:hint="eastAsia"/>
                <w:sz w:val="22"/>
              </w:rPr>
              <w:t>アイヌ文化</w:t>
            </w:r>
            <w:r>
              <w:rPr>
                <w:rFonts w:hint="eastAsia"/>
                <w:sz w:val="22"/>
              </w:rPr>
              <w:t>等</w:t>
            </w:r>
            <w:r w:rsidR="00331E34">
              <w:rPr>
                <w:rFonts w:hint="eastAsia"/>
                <w:sz w:val="22"/>
              </w:rPr>
              <w:t>に関するホームページ内容の充実</w:t>
            </w:r>
            <w:r>
              <w:rPr>
                <w:rFonts w:hint="eastAsia"/>
                <w:sz w:val="22"/>
              </w:rPr>
              <w:t>、</w:t>
            </w:r>
            <w:r w:rsidR="007E16CE">
              <w:rPr>
                <w:rFonts w:hint="eastAsia"/>
                <w:sz w:val="22"/>
              </w:rPr>
              <w:t>YouTube</w:t>
            </w:r>
            <w:r>
              <w:rPr>
                <w:rFonts w:hint="eastAsia"/>
                <w:sz w:val="22"/>
              </w:rPr>
              <w:t>配信による</w:t>
            </w:r>
            <w:r w:rsidR="007E16CE">
              <w:rPr>
                <w:rFonts w:hint="eastAsia"/>
                <w:sz w:val="22"/>
              </w:rPr>
              <w:t>事業を</w:t>
            </w:r>
            <w:r>
              <w:rPr>
                <w:rFonts w:hint="eastAsia"/>
                <w:sz w:val="22"/>
              </w:rPr>
              <w:t>実施し、アイヌ文化等の魅力を広く国内外に情報発信した。</w:t>
            </w:r>
          </w:p>
        </w:tc>
        <w:tc>
          <w:tcPr>
            <w:tcW w:w="1835" w:type="dxa"/>
            <w:vAlign w:val="center"/>
          </w:tcPr>
          <w:p w:rsidR="007F3C4E" w:rsidRPr="00294D7D" w:rsidRDefault="007F3C4E" w:rsidP="008F1027">
            <w:pPr>
              <w:kinsoku w:val="0"/>
              <w:overflowPunct w:val="0"/>
              <w:autoSpaceDE w:val="0"/>
              <w:autoSpaceDN w:val="0"/>
              <w:jc w:val="center"/>
              <w:rPr>
                <w:sz w:val="22"/>
              </w:rPr>
            </w:pPr>
            <w:r>
              <w:rPr>
                <w:rFonts w:hint="eastAsia"/>
                <w:sz w:val="22"/>
              </w:rPr>
              <w:t>白糠町</w:t>
            </w:r>
          </w:p>
        </w:tc>
      </w:tr>
      <w:tr w:rsidR="007F3C4E" w:rsidRPr="00294D7D" w:rsidTr="008F1027">
        <w:tc>
          <w:tcPr>
            <w:tcW w:w="9060" w:type="dxa"/>
            <w:gridSpan w:val="2"/>
          </w:tcPr>
          <w:p w:rsidR="007F3C4E" w:rsidRPr="00294D7D" w:rsidRDefault="007F3C4E" w:rsidP="008F1027">
            <w:pPr>
              <w:kinsoku w:val="0"/>
              <w:overflowPunct w:val="0"/>
              <w:autoSpaceDE w:val="0"/>
              <w:autoSpaceDN w:val="0"/>
              <w:rPr>
                <w:sz w:val="22"/>
              </w:rPr>
            </w:pPr>
            <w:r w:rsidRPr="00294D7D">
              <w:rPr>
                <w:rFonts w:hint="eastAsia"/>
                <w:sz w:val="22"/>
              </w:rPr>
              <w:t>事業の効果</w:t>
            </w:r>
          </w:p>
        </w:tc>
      </w:tr>
      <w:tr w:rsidR="007F3C4E" w:rsidRPr="00294D7D" w:rsidTr="008F1027">
        <w:tc>
          <w:tcPr>
            <w:tcW w:w="9060" w:type="dxa"/>
            <w:gridSpan w:val="2"/>
          </w:tcPr>
          <w:p w:rsidR="00D37C6C" w:rsidRPr="00294D7D" w:rsidRDefault="00940668" w:rsidP="00E27A8A">
            <w:pPr>
              <w:kinsoku w:val="0"/>
              <w:overflowPunct w:val="0"/>
              <w:autoSpaceDE w:val="0"/>
              <w:autoSpaceDN w:val="0"/>
              <w:rPr>
                <w:sz w:val="22"/>
              </w:rPr>
            </w:pPr>
            <w:r>
              <w:rPr>
                <w:rFonts w:hint="eastAsia"/>
                <w:sz w:val="22"/>
              </w:rPr>
              <w:t>アイヌ文化等の魅力を広く国内外に情報発信することにより、アイヌ伝統文化</w:t>
            </w:r>
            <w:r w:rsidR="00705DC1">
              <w:rPr>
                <w:rFonts w:hint="eastAsia"/>
                <w:sz w:val="22"/>
              </w:rPr>
              <w:t>への理解の促進、</w:t>
            </w:r>
            <w:r>
              <w:rPr>
                <w:rFonts w:hint="eastAsia"/>
                <w:sz w:val="22"/>
              </w:rPr>
              <w:t>交流活動の活発化、交流人口の創出・拡大</w:t>
            </w:r>
            <w:r w:rsidR="00493AF6">
              <w:rPr>
                <w:rFonts w:hint="eastAsia"/>
                <w:sz w:val="22"/>
              </w:rPr>
              <w:t>、アイヌ伝統文化への理解の深化を促進させることによって</w:t>
            </w:r>
            <w:r w:rsidR="00966F27">
              <w:rPr>
                <w:rFonts w:hint="eastAsia"/>
                <w:sz w:val="22"/>
              </w:rPr>
              <w:t>、</w:t>
            </w:r>
            <w:r w:rsidR="00493AF6">
              <w:rPr>
                <w:rFonts w:hint="eastAsia"/>
                <w:sz w:val="22"/>
              </w:rPr>
              <w:t>目標値の達成に繋げ</w:t>
            </w:r>
            <w:r w:rsidR="00E27A8A">
              <w:rPr>
                <w:rFonts w:hint="eastAsia"/>
                <w:sz w:val="22"/>
              </w:rPr>
              <w:t>ている</w:t>
            </w:r>
            <w:r>
              <w:rPr>
                <w:rFonts w:hint="eastAsia"/>
                <w:sz w:val="22"/>
              </w:rPr>
              <w:t>。</w:t>
            </w:r>
          </w:p>
        </w:tc>
      </w:tr>
    </w:tbl>
    <w:p w:rsidR="00E33743" w:rsidRDefault="00E33743" w:rsidP="00FD4DEA">
      <w:pPr>
        <w:kinsoku w:val="0"/>
        <w:overflowPunct w:val="0"/>
        <w:autoSpaceDE w:val="0"/>
        <w:autoSpaceDN w:val="0"/>
        <w:rPr>
          <w:sz w:val="22"/>
        </w:rPr>
      </w:pPr>
    </w:p>
    <w:p w:rsidR="001278FC" w:rsidRDefault="001278FC" w:rsidP="00FD4DEA">
      <w:pPr>
        <w:kinsoku w:val="0"/>
        <w:overflowPunct w:val="0"/>
        <w:autoSpaceDE w:val="0"/>
        <w:autoSpaceDN w:val="0"/>
        <w:rPr>
          <w:rFonts w:hint="eastAsia"/>
          <w:sz w:val="22"/>
        </w:rPr>
      </w:pPr>
    </w:p>
    <w:p w:rsidR="006E5C46" w:rsidRDefault="006E5C46" w:rsidP="00FD4DEA">
      <w:pPr>
        <w:kinsoku w:val="0"/>
        <w:overflowPunct w:val="0"/>
        <w:autoSpaceDE w:val="0"/>
        <w:autoSpaceDN w:val="0"/>
        <w:rPr>
          <w:sz w:val="22"/>
        </w:rPr>
      </w:pPr>
      <w:r>
        <w:rPr>
          <w:rFonts w:hint="eastAsia"/>
          <w:sz w:val="22"/>
        </w:rPr>
        <w:lastRenderedPageBreak/>
        <w:t xml:space="preserve">　⑷　</w:t>
      </w:r>
      <w:r w:rsidR="00504C93">
        <w:rPr>
          <w:rFonts w:hint="eastAsia"/>
          <w:sz w:val="22"/>
        </w:rPr>
        <w:t>地域内及び地域間の交流並びに国際交流の促進に資する事業</w:t>
      </w:r>
    </w:p>
    <w:tbl>
      <w:tblPr>
        <w:tblStyle w:val="a3"/>
        <w:tblW w:w="0" w:type="auto"/>
        <w:tblLook w:val="04A0" w:firstRow="1" w:lastRow="0" w:firstColumn="1" w:lastColumn="0" w:noHBand="0" w:noVBand="1"/>
      </w:tblPr>
      <w:tblGrid>
        <w:gridCol w:w="7225"/>
        <w:gridCol w:w="1835"/>
      </w:tblGrid>
      <w:tr w:rsidR="007F3C4E" w:rsidRPr="00294D7D" w:rsidTr="008F1027">
        <w:tc>
          <w:tcPr>
            <w:tcW w:w="7225" w:type="dxa"/>
          </w:tcPr>
          <w:p w:rsidR="007F3C4E" w:rsidRPr="00294D7D" w:rsidRDefault="007F3C4E" w:rsidP="008F1027">
            <w:pPr>
              <w:kinsoku w:val="0"/>
              <w:overflowPunct w:val="0"/>
              <w:autoSpaceDE w:val="0"/>
              <w:autoSpaceDN w:val="0"/>
              <w:jc w:val="center"/>
              <w:rPr>
                <w:sz w:val="22"/>
              </w:rPr>
            </w:pPr>
            <w:r w:rsidRPr="00294D7D">
              <w:rPr>
                <w:rFonts w:hint="eastAsia"/>
                <w:sz w:val="22"/>
              </w:rPr>
              <w:t>事業の進捗状況</w:t>
            </w:r>
          </w:p>
        </w:tc>
        <w:tc>
          <w:tcPr>
            <w:tcW w:w="1835" w:type="dxa"/>
          </w:tcPr>
          <w:p w:rsidR="007F3C4E" w:rsidRPr="00294D7D" w:rsidRDefault="007F3C4E" w:rsidP="008F1027">
            <w:pPr>
              <w:kinsoku w:val="0"/>
              <w:overflowPunct w:val="0"/>
              <w:autoSpaceDE w:val="0"/>
              <w:autoSpaceDN w:val="0"/>
              <w:jc w:val="center"/>
              <w:rPr>
                <w:sz w:val="22"/>
              </w:rPr>
            </w:pPr>
            <w:r w:rsidRPr="00294D7D">
              <w:rPr>
                <w:rFonts w:hint="eastAsia"/>
                <w:sz w:val="22"/>
              </w:rPr>
              <w:t>事業実施主体</w:t>
            </w:r>
          </w:p>
        </w:tc>
      </w:tr>
      <w:tr w:rsidR="007F3C4E" w:rsidRPr="00294D7D" w:rsidTr="008F1027">
        <w:tc>
          <w:tcPr>
            <w:tcW w:w="7225" w:type="dxa"/>
          </w:tcPr>
          <w:p w:rsidR="00BD6283" w:rsidRDefault="00D37C6C" w:rsidP="00D37C6C">
            <w:pPr>
              <w:kinsoku w:val="0"/>
              <w:overflowPunct w:val="0"/>
              <w:autoSpaceDE w:val="0"/>
              <w:autoSpaceDN w:val="0"/>
              <w:ind w:left="220" w:hangingChars="100" w:hanging="220"/>
              <w:rPr>
                <w:sz w:val="22"/>
              </w:rPr>
            </w:pPr>
            <w:r>
              <w:rPr>
                <w:rFonts w:hint="eastAsia"/>
                <w:sz w:val="22"/>
              </w:rPr>
              <w:t>・人材育成のための学習支援事業（幼児教育サポート、放課後学習サポート、公営塾</w:t>
            </w:r>
            <w:r w:rsidR="00BD6283">
              <w:rPr>
                <w:rFonts w:hint="eastAsia"/>
                <w:sz w:val="22"/>
              </w:rPr>
              <w:t>）</w:t>
            </w:r>
          </w:p>
          <w:p w:rsidR="005A4231" w:rsidRDefault="00E33743" w:rsidP="00E33743">
            <w:pPr>
              <w:kinsoku w:val="0"/>
              <w:overflowPunct w:val="0"/>
              <w:autoSpaceDE w:val="0"/>
              <w:autoSpaceDN w:val="0"/>
              <w:rPr>
                <w:sz w:val="22"/>
              </w:rPr>
            </w:pPr>
            <w:r>
              <w:rPr>
                <w:rFonts w:hint="eastAsia"/>
                <w:sz w:val="22"/>
              </w:rPr>
              <w:t>学習習慣と基礎学力の定着を図るとともに、ふるさとへの愛着心と地域に生きる意欲を喚起し、次代のまちを自ら創造</w:t>
            </w:r>
            <w:r w:rsidR="00145619">
              <w:rPr>
                <w:rFonts w:hint="eastAsia"/>
                <w:sz w:val="22"/>
              </w:rPr>
              <w:t>する人材を育成するため、講師を雇用して</w:t>
            </w:r>
            <w:r w:rsidR="00B211E9">
              <w:rPr>
                <w:rFonts w:hint="eastAsia"/>
                <w:sz w:val="22"/>
              </w:rPr>
              <w:t>年少</w:t>
            </w:r>
            <w:r w:rsidR="00145619">
              <w:rPr>
                <w:rFonts w:hint="eastAsia"/>
                <w:sz w:val="22"/>
              </w:rPr>
              <w:t>期からの幼児を対象とした教育サポート、小学生を対象とした放課後学習サポート、白糠高等学校の生徒を対象とした公営塾</w:t>
            </w:r>
            <w:r w:rsidR="00B211E9">
              <w:rPr>
                <w:rFonts w:hint="eastAsia"/>
                <w:sz w:val="22"/>
              </w:rPr>
              <w:t>を開設し</w:t>
            </w:r>
            <w:r w:rsidR="00145619">
              <w:rPr>
                <w:rFonts w:hint="eastAsia"/>
                <w:sz w:val="22"/>
              </w:rPr>
              <w:t>、アイヌ文化等を担う子どもの学習支援</w:t>
            </w:r>
            <w:r w:rsidR="00B52517">
              <w:rPr>
                <w:rFonts w:hint="eastAsia"/>
                <w:sz w:val="22"/>
              </w:rPr>
              <w:t>を行った。</w:t>
            </w:r>
          </w:p>
          <w:p w:rsidR="005A4231" w:rsidRDefault="00BD6283" w:rsidP="00D37C6C">
            <w:pPr>
              <w:kinsoku w:val="0"/>
              <w:overflowPunct w:val="0"/>
              <w:autoSpaceDE w:val="0"/>
              <w:autoSpaceDN w:val="0"/>
              <w:ind w:left="220" w:hangingChars="100" w:hanging="220"/>
              <w:rPr>
                <w:sz w:val="22"/>
              </w:rPr>
            </w:pPr>
            <w:r>
              <w:rPr>
                <w:rFonts w:hint="eastAsia"/>
                <w:sz w:val="22"/>
              </w:rPr>
              <w:t>・</w:t>
            </w:r>
            <w:r w:rsidR="00D37C6C">
              <w:rPr>
                <w:rFonts w:hint="eastAsia"/>
                <w:sz w:val="22"/>
              </w:rPr>
              <w:t>中学生・高校生海外研修等事業</w:t>
            </w:r>
          </w:p>
          <w:p w:rsidR="00D37C6C" w:rsidRPr="005A4231" w:rsidRDefault="005A4231" w:rsidP="005A4231">
            <w:pPr>
              <w:kinsoku w:val="0"/>
              <w:overflowPunct w:val="0"/>
              <w:autoSpaceDE w:val="0"/>
              <w:autoSpaceDN w:val="0"/>
              <w:rPr>
                <w:sz w:val="22"/>
              </w:rPr>
            </w:pPr>
            <w:r>
              <w:rPr>
                <w:rFonts w:hint="eastAsia"/>
                <w:sz w:val="22"/>
              </w:rPr>
              <w:t>新型コロナウイルス感染症の影響により、</w:t>
            </w:r>
            <w:r w:rsidR="00BD6283">
              <w:rPr>
                <w:rFonts w:hint="eastAsia"/>
                <w:sz w:val="22"/>
              </w:rPr>
              <w:t>令和３年度まで</w:t>
            </w:r>
            <w:r>
              <w:rPr>
                <w:rFonts w:hint="eastAsia"/>
                <w:sz w:val="22"/>
              </w:rPr>
              <w:t>事業を</w:t>
            </w:r>
            <w:r w:rsidR="00D37C6C">
              <w:rPr>
                <w:rFonts w:hint="eastAsia"/>
                <w:sz w:val="22"/>
              </w:rPr>
              <w:t>中止</w:t>
            </w:r>
            <w:r>
              <w:rPr>
                <w:rFonts w:hint="eastAsia"/>
                <w:sz w:val="22"/>
              </w:rPr>
              <w:t>した。</w:t>
            </w:r>
          </w:p>
        </w:tc>
        <w:tc>
          <w:tcPr>
            <w:tcW w:w="1835" w:type="dxa"/>
            <w:vAlign w:val="center"/>
          </w:tcPr>
          <w:p w:rsidR="007F3C4E" w:rsidRPr="00294D7D" w:rsidRDefault="007F3C4E" w:rsidP="008F1027">
            <w:pPr>
              <w:kinsoku w:val="0"/>
              <w:overflowPunct w:val="0"/>
              <w:autoSpaceDE w:val="0"/>
              <w:autoSpaceDN w:val="0"/>
              <w:jc w:val="center"/>
              <w:rPr>
                <w:sz w:val="22"/>
              </w:rPr>
            </w:pPr>
            <w:r>
              <w:rPr>
                <w:rFonts w:hint="eastAsia"/>
                <w:sz w:val="22"/>
              </w:rPr>
              <w:t>白糠町</w:t>
            </w:r>
          </w:p>
        </w:tc>
      </w:tr>
      <w:tr w:rsidR="007F3C4E" w:rsidRPr="00294D7D" w:rsidTr="008F1027">
        <w:tc>
          <w:tcPr>
            <w:tcW w:w="9060" w:type="dxa"/>
            <w:gridSpan w:val="2"/>
          </w:tcPr>
          <w:p w:rsidR="007F3C4E" w:rsidRPr="00294D7D" w:rsidRDefault="007F3C4E" w:rsidP="008F1027">
            <w:pPr>
              <w:kinsoku w:val="0"/>
              <w:overflowPunct w:val="0"/>
              <w:autoSpaceDE w:val="0"/>
              <w:autoSpaceDN w:val="0"/>
              <w:rPr>
                <w:sz w:val="22"/>
              </w:rPr>
            </w:pPr>
            <w:r w:rsidRPr="00294D7D">
              <w:rPr>
                <w:rFonts w:hint="eastAsia"/>
                <w:sz w:val="22"/>
              </w:rPr>
              <w:t>事業の効果</w:t>
            </w:r>
          </w:p>
        </w:tc>
      </w:tr>
      <w:tr w:rsidR="007F3C4E" w:rsidRPr="00294D7D" w:rsidTr="008F1027">
        <w:tc>
          <w:tcPr>
            <w:tcW w:w="9060" w:type="dxa"/>
            <w:gridSpan w:val="2"/>
          </w:tcPr>
          <w:p w:rsidR="00D37C6C" w:rsidRPr="00294D7D" w:rsidRDefault="00966F27" w:rsidP="00315DAF">
            <w:pPr>
              <w:kinsoku w:val="0"/>
              <w:overflowPunct w:val="0"/>
              <w:autoSpaceDE w:val="0"/>
              <w:autoSpaceDN w:val="0"/>
              <w:rPr>
                <w:sz w:val="22"/>
              </w:rPr>
            </w:pPr>
            <w:r>
              <w:rPr>
                <w:rFonts w:hint="eastAsia"/>
                <w:sz w:val="22"/>
              </w:rPr>
              <w:t>笑顔で楽しく</w:t>
            </w:r>
            <w:r w:rsidR="00315DAF">
              <w:rPr>
                <w:rFonts w:hint="eastAsia"/>
                <w:sz w:val="22"/>
              </w:rPr>
              <w:t>学習に向き合いながら自主的に</w:t>
            </w:r>
            <w:r>
              <w:rPr>
                <w:rFonts w:hint="eastAsia"/>
                <w:sz w:val="22"/>
              </w:rPr>
              <w:t>取り組む姿勢</w:t>
            </w:r>
            <w:r w:rsidR="00315DAF">
              <w:rPr>
                <w:rFonts w:hint="eastAsia"/>
                <w:sz w:val="22"/>
              </w:rPr>
              <w:t>が見られ、</w:t>
            </w:r>
            <w:r>
              <w:rPr>
                <w:rFonts w:hint="eastAsia"/>
                <w:sz w:val="22"/>
              </w:rPr>
              <w:t>学習意欲の向上が</w:t>
            </w:r>
            <w:r w:rsidR="00315DAF">
              <w:rPr>
                <w:rFonts w:hint="eastAsia"/>
                <w:sz w:val="22"/>
              </w:rPr>
              <w:t>うかがえる。次代のまちを担う</w:t>
            </w:r>
            <w:r>
              <w:rPr>
                <w:rFonts w:hint="eastAsia"/>
                <w:sz w:val="22"/>
              </w:rPr>
              <w:t>子どもたちの成長</w:t>
            </w:r>
            <w:r w:rsidR="00315DAF">
              <w:rPr>
                <w:rFonts w:hint="eastAsia"/>
                <w:sz w:val="22"/>
              </w:rPr>
              <w:t>、人材育成</w:t>
            </w:r>
            <w:r>
              <w:rPr>
                <w:rFonts w:hint="eastAsia"/>
                <w:sz w:val="22"/>
              </w:rPr>
              <w:t>に</w:t>
            </w:r>
            <w:r w:rsidR="00315DAF">
              <w:rPr>
                <w:rFonts w:hint="eastAsia"/>
                <w:sz w:val="22"/>
              </w:rPr>
              <w:t>繋がっている</w:t>
            </w:r>
            <w:r>
              <w:rPr>
                <w:rFonts w:hint="eastAsia"/>
                <w:sz w:val="22"/>
              </w:rPr>
              <w:t>。</w:t>
            </w:r>
          </w:p>
        </w:tc>
      </w:tr>
    </w:tbl>
    <w:p w:rsidR="008772F9" w:rsidRDefault="008772F9" w:rsidP="00FD4DEA">
      <w:pPr>
        <w:kinsoku w:val="0"/>
        <w:overflowPunct w:val="0"/>
        <w:autoSpaceDE w:val="0"/>
        <w:autoSpaceDN w:val="0"/>
        <w:rPr>
          <w:sz w:val="22"/>
        </w:rPr>
      </w:pPr>
    </w:p>
    <w:p w:rsidR="0018668F" w:rsidRDefault="0018668F" w:rsidP="00FD4DEA">
      <w:pPr>
        <w:kinsoku w:val="0"/>
        <w:overflowPunct w:val="0"/>
        <w:autoSpaceDE w:val="0"/>
        <w:autoSpaceDN w:val="0"/>
        <w:rPr>
          <w:sz w:val="22"/>
        </w:rPr>
      </w:pPr>
    </w:p>
    <w:p w:rsidR="00321FB0" w:rsidRPr="00294D7D" w:rsidRDefault="00321FB0" w:rsidP="00FD4DEA">
      <w:pPr>
        <w:kinsoku w:val="0"/>
        <w:overflowPunct w:val="0"/>
        <w:autoSpaceDE w:val="0"/>
        <w:autoSpaceDN w:val="0"/>
        <w:rPr>
          <w:sz w:val="22"/>
        </w:rPr>
      </w:pPr>
      <w:r w:rsidRPr="00294D7D">
        <w:rPr>
          <w:rFonts w:hint="eastAsia"/>
          <w:sz w:val="22"/>
        </w:rPr>
        <w:t>３．</w:t>
      </w:r>
      <w:r w:rsidR="00115C4E" w:rsidRPr="00294D7D">
        <w:rPr>
          <w:rFonts w:hint="eastAsia"/>
          <w:sz w:val="22"/>
        </w:rPr>
        <w:t>今後の方針等</w:t>
      </w:r>
    </w:p>
    <w:tbl>
      <w:tblPr>
        <w:tblStyle w:val="a3"/>
        <w:tblW w:w="0" w:type="auto"/>
        <w:tblLook w:val="04A0" w:firstRow="1" w:lastRow="0" w:firstColumn="1" w:lastColumn="0" w:noHBand="0" w:noVBand="1"/>
      </w:tblPr>
      <w:tblGrid>
        <w:gridCol w:w="9060"/>
      </w:tblGrid>
      <w:tr w:rsidR="00115C4E" w:rsidRPr="00294D7D" w:rsidTr="00115C4E">
        <w:tc>
          <w:tcPr>
            <w:tcW w:w="9060" w:type="dxa"/>
          </w:tcPr>
          <w:p w:rsidR="008772F9" w:rsidRPr="00294D7D" w:rsidRDefault="0018668F" w:rsidP="0018668F">
            <w:pPr>
              <w:kinsoku w:val="0"/>
              <w:overflowPunct w:val="0"/>
              <w:autoSpaceDE w:val="0"/>
              <w:autoSpaceDN w:val="0"/>
              <w:rPr>
                <w:sz w:val="22"/>
              </w:rPr>
            </w:pPr>
            <w:r>
              <w:rPr>
                <w:rFonts w:hint="eastAsia"/>
                <w:sz w:val="22"/>
              </w:rPr>
              <w:t>アイヌ関連団体との基本認識を共有しながら、</w:t>
            </w:r>
            <w:r w:rsidR="008F1027">
              <w:rPr>
                <w:rFonts w:hint="eastAsia"/>
                <w:sz w:val="22"/>
              </w:rPr>
              <w:t>アイヌ文化等の継承とともに、広く情報発信することにより、</w:t>
            </w:r>
            <w:r>
              <w:rPr>
                <w:rFonts w:hint="eastAsia"/>
                <w:sz w:val="22"/>
              </w:rPr>
              <w:t>交流活動の活発化、交流人口の創出・拡大</w:t>
            </w:r>
            <w:r w:rsidR="008F1027">
              <w:rPr>
                <w:rFonts w:hint="eastAsia"/>
                <w:sz w:val="22"/>
              </w:rPr>
              <w:t>を図り、魅力ある地域社会を形成するための施策を展開していく。</w:t>
            </w:r>
          </w:p>
        </w:tc>
      </w:tr>
    </w:tbl>
    <w:p w:rsidR="00115C4E" w:rsidRPr="00294D7D" w:rsidRDefault="00115C4E" w:rsidP="00FD4DEA">
      <w:pPr>
        <w:kinsoku w:val="0"/>
        <w:overflowPunct w:val="0"/>
        <w:autoSpaceDE w:val="0"/>
        <w:autoSpaceDN w:val="0"/>
        <w:rPr>
          <w:sz w:val="22"/>
        </w:rPr>
      </w:pPr>
    </w:p>
    <w:p w:rsidR="00321FB0" w:rsidRPr="00294D7D" w:rsidRDefault="00321FB0" w:rsidP="00FD4DEA">
      <w:pPr>
        <w:kinsoku w:val="0"/>
        <w:overflowPunct w:val="0"/>
        <w:autoSpaceDE w:val="0"/>
        <w:autoSpaceDN w:val="0"/>
        <w:rPr>
          <w:sz w:val="22"/>
        </w:rPr>
      </w:pPr>
    </w:p>
    <w:sectPr w:rsidR="00321FB0" w:rsidRPr="00294D7D" w:rsidSect="00B85DF0">
      <w:pgSz w:w="11906" w:h="16838" w:code="9"/>
      <w:pgMar w:top="1418" w:right="1418" w:bottom="851"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3825"/>
    <w:multiLevelType w:val="hybridMultilevel"/>
    <w:tmpl w:val="F5EE54EC"/>
    <w:lvl w:ilvl="0" w:tplc="057837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VerticalSpacing w:val="375"/>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67"/>
    <w:rsid w:val="0003469D"/>
    <w:rsid w:val="000509F2"/>
    <w:rsid w:val="000D1E9A"/>
    <w:rsid w:val="000F13D7"/>
    <w:rsid w:val="00106A8D"/>
    <w:rsid w:val="00112742"/>
    <w:rsid w:val="00115C4E"/>
    <w:rsid w:val="00125CC5"/>
    <w:rsid w:val="001278FC"/>
    <w:rsid w:val="00145619"/>
    <w:rsid w:val="0018668F"/>
    <w:rsid w:val="001B37EF"/>
    <w:rsid w:val="001C1A9D"/>
    <w:rsid w:val="00204C0E"/>
    <w:rsid w:val="00222F09"/>
    <w:rsid w:val="00255AEC"/>
    <w:rsid w:val="00262E8E"/>
    <w:rsid w:val="00294D7D"/>
    <w:rsid w:val="002D4A44"/>
    <w:rsid w:val="00315DAF"/>
    <w:rsid w:val="00321FB0"/>
    <w:rsid w:val="00331E34"/>
    <w:rsid w:val="0042074B"/>
    <w:rsid w:val="00493AF6"/>
    <w:rsid w:val="004C1420"/>
    <w:rsid w:val="004C3136"/>
    <w:rsid w:val="00504C93"/>
    <w:rsid w:val="005816A3"/>
    <w:rsid w:val="005A4231"/>
    <w:rsid w:val="00637278"/>
    <w:rsid w:val="006E5C46"/>
    <w:rsid w:val="00705DC1"/>
    <w:rsid w:val="00792531"/>
    <w:rsid w:val="007A6E6D"/>
    <w:rsid w:val="007C2E3B"/>
    <w:rsid w:val="007C3B99"/>
    <w:rsid w:val="007E16CE"/>
    <w:rsid w:val="007F3C4E"/>
    <w:rsid w:val="008772F9"/>
    <w:rsid w:val="008F1027"/>
    <w:rsid w:val="00940668"/>
    <w:rsid w:val="00966F27"/>
    <w:rsid w:val="0096773E"/>
    <w:rsid w:val="00A353D3"/>
    <w:rsid w:val="00A35802"/>
    <w:rsid w:val="00A42569"/>
    <w:rsid w:val="00AC415C"/>
    <w:rsid w:val="00B211E9"/>
    <w:rsid w:val="00B52517"/>
    <w:rsid w:val="00B85DF0"/>
    <w:rsid w:val="00BD6283"/>
    <w:rsid w:val="00D2613D"/>
    <w:rsid w:val="00D37C6C"/>
    <w:rsid w:val="00DC04A3"/>
    <w:rsid w:val="00DF4367"/>
    <w:rsid w:val="00E27A8A"/>
    <w:rsid w:val="00E33743"/>
    <w:rsid w:val="00E70472"/>
    <w:rsid w:val="00E7443D"/>
    <w:rsid w:val="00F229C5"/>
    <w:rsid w:val="00F707E9"/>
    <w:rsid w:val="00FD4DEA"/>
    <w:rsid w:val="00FE43AE"/>
    <w:rsid w:val="00FE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1BA2C"/>
  <w15:chartTrackingRefBased/>
  <w15:docId w15:val="{1B34D494-F249-48BD-9825-BC23B5B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DE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4DEA"/>
    <w:pPr>
      <w:ind w:leftChars="400" w:left="840"/>
    </w:pPr>
  </w:style>
  <w:style w:type="paragraph" w:styleId="a5">
    <w:name w:val="Balloon Text"/>
    <w:basedOn w:val="a"/>
    <w:link w:val="a6"/>
    <w:uiPriority w:val="99"/>
    <w:semiHidden/>
    <w:unhideWhenUsed/>
    <w:rsid w:val="007C2E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2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0743-11B7-431D-BF14-264849E3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有間　大介</dc:creator>
  <cp:keywords/>
  <dc:description/>
  <cp:lastModifiedBy>有間　大介</cp:lastModifiedBy>
  <cp:revision>45</cp:revision>
  <cp:lastPrinted>2022-04-27T10:32:00Z</cp:lastPrinted>
  <dcterms:created xsi:type="dcterms:W3CDTF">2022-04-18T08:35:00Z</dcterms:created>
  <dcterms:modified xsi:type="dcterms:W3CDTF">2022-04-28T07:33:00Z</dcterms:modified>
</cp:coreProperties>
</file>